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0FC" w:rsidRDefault="00DC20FC" w:rsidP="00D72A28">
      <w:pPr>
        <w:pStyle w:val="2"/>
        <w:spacing w:line="360" w:lineRule="auto"/>
        <w:ind w:firstLine="0"/>
        <w:jc w:val="right"/>
        <w:rPr>
          <w:szCs w:val="28"/>
          <w:lang w:val="en-US"/>
        </w:rPr>
      </w:pPr>
      <w:bookmarkStart w:id="0" w:name="_GoBack"/>
      <w:bookmarkEnd w:id="0"/>
      <w:r w:rsidRPr="00D72A28">
        <w:rPr>
          <w:i/>
          <w:szCs w:val="28"/>
          <w:lang w:val="en-US"/>
        </w:rPr>
        <w:t xml:space="preserve">O.V. </w:t>
      </w:r>
      <w:proofErr w:type="spellStart"/>
      <w:proofErr w:type="gramStart"/>
      <w:r w:rsidRPr="00D72A28">
        <w:rPr>
          <w:i/>
          <w:szCs w:val="28"/>
          <w:lang w:val="en-US"/>
        </w:rPr>
        <w:t>Kardash</w:t>
      </w:r>
      <w:proofErr w:type="spellEnd"/>
      <w:r w:rsidRPr="00D72A28">
        <w:rPr>
          <w:i/>
          <w:szCs w:val="28"/>
          <w:lang w:val="en-US"/>
        </w:rPr>
        <w:t xml:space="preserve">,  </w:t>
      </w:r>
      <w:r w:rsidR="00D72A28" w:rsidRPr="00D72A28">
        <w:rPr>
          <w:i/>
          <w:szCs w:val="28"/>
          <w:lang w:val="en-US"/>
        </w:rPr>
        <w:t>G.P.</w:t>
      </w:r>
      <w:proofErr w:type="gramEnd"/>
      <w:r w:rsidR="00D72A28" w:rsidRPr="00D72A28">
        <w:rPr>
          <w:i/>
          <w:szCs w:val="28"/>
          <w:lang w:val="en-US"/>
        </w:rPr>
        <w:t xml:space="preserve"> </w:t>
      </w:r>
      <w:proofErr w:type="spellStart"/>
      <w:r w:rsidR="00D72A28" w:rsidRPr="00D72A28">
        <w:rPr>
          <w:i/>
          <w:szCs w:val="28"/>
          <w:lang w:val="en-US"/>
        </w:rPr>
        <w:t>Vizgalov</w:t>
      </w:r>
      <w:proofErr w:type="spellEnd"/>
      <w:r w:rsidR="00D72A28" w:rsidRPr="00D72A28">
        <w:rPr>
          <w:i/>
          <w:szCs w:val="28"/>
          <w:lang w:val="en-US"/>
        </w:rPr>
        <w:t xml:space="preserve">, H. </w:t>
      </w:r>
      <w:proofErr w:type="spellStart"/>
      <w:r w:rsidR="00D72A28" w:rsidRPr="00D72A28">
        <w:rPr>
          <w:i/>
          <w:szCs w:val="28"/>
          <w:lang w:val="en-US"/>
        </w:rPr>
        <w:t>Piezonka</w:t>
      </w:r>
      <w:proofErr w:type="spellEnd"/>
    </w:p>
    <w:p w:rsidR="00D72A28" w:rsidRDefault="00D72A28" w:rsidP="00D72A28">
      <w:pPr>
        <w:pStyle w:val="2"/>
        <w:spacing w:line="360" w:lineRule="auto"/>
        <w:ind w:firstLine="0"/>
        <w:jc w:val="right"/>
        <w:rPr>
          <w:szCs w:val="28"/>
          <w:lang w:val="en-US"/>
        </w:rPr>
      </w:pPr>
    </w:p>
    <w:p w:rsidR="00D72A28" w:rsidRDefault="00D72A28" w:rsidP="00D72A28">
      <w:pPr>
        <w:pStyle w:val="2"/>
        <w:spacing w:line="360" w:lineRule="auto"/>
        <w:ind w:firstLine="0"/>
        <w:jc w:val="center"/>
        <w:rPr>
          <w:szCs w:val="28"/>
          <w:lang w:val="en-US"/>
        </w:rPr>
      </w:pPr>
      <w:r>
        <w:rPr>
          <w:szCs w:val="28"/>
          <w:lang w:val="en-US"/>
        </w:rPr>
        <w:t>The</w:t>
      </w:r>
      <w:r w:rsidR="00463B4B">
        <w:rPr>
          <w:szCs w:val="28"/>
          <w:lang w:val="en-US"/>
        </w:rPr>
        <w:t xml:space="preserve"> </w:t>
      </w:r>
      <w:proofErr w:type="spellStart"/>
      <w:r w:rsidR="00463B4B">
        <w:rPr>
          <w:szCs w:val="28"/>
          <w:lang w:val="en-US"/>
        </w:rPr>
        <w:t>Kayukovsky</w:t>
      </w:r>
      <w:proofErr w:type="spellEnd"/>
      <w:r w:rsidR="00463B4B">
        <w:rPr>
          <w:szCs w:val="28"/>
          <w:lang w:val="en-US"/>
        </w:rPr>
        <w:t xml:space="preserve"> culture of the Early</w:t>
      </w:r>
      <w:r>
        <w:rPr>
          <w:szCs w:val="28"/>
          <w:lang w:val="en-US"/>
        </w:rPr>
        <w:t xml:space="preserve"> Neolithic period in the context of human diffusion on the territory of the North of the Western Siberia</w:t>
      </w:r>
    </w:p>
    <w:p w:rsidR="00D72A28" w:rsidRPr="00D72A28" w:rsidRDefault="00D72A28" w:rsidP="00D72A28">
      <w:pPr>
        <w:pStyle w:val="2"/>
        <w:spacing w:line="360" w:lineRule="auto"/>
        <w:ind w:firstLine="0"/>
        <w:jc w:val="right"/>
        <w:rPr>
          <w:szCs w:val="28"/>
          <w:lang w:val="en-US"/>
        </w:rPr>
      </w:pPr>
    </w:p>
    <w:p w:rsidR="08A57ED7" w:rsidRDefault="08A57ED7" w:rsidP="08A57ED7">
      <w:pPr>
        <w:spacing w:line="360" w:lineRule="auto"/>
        <w:ind w:firstLine="709"/>
        <w:jc w:val="both"/>
        <w:rPr>
          <w:sz w:val="28"/>
          <w:szCs w:val="28"/>
          <w:lang w:val="en-GB"/>
        </w:rPr>
      </w:pPr>
      <w:r w:rsidRPr="08A57ED7">
        <w:rPr>
          <w:sz w:val="28"/>
          <w:szCs w:val="28"/>
          <w:lang w:val="en-GB"/>
        </w:rPr>
        <w:t xml:space="preserve">Since the Neolithic Age at the turn of VII century BC hundreds of settlements were appearing in the North of the West Siberian Plain, the number of these settlements increased later and not decreased till the Middle Ages. During the </w:t>
      </w:r>
      <w:proofErr w:type="spellStart"/>
      <w:r w:rsidRPr="08A57ED7">
        <w:rPr>
          <w:sz w:val="28"/>
          <w:szCs w:val="28"/>
          <w:lang w:val="en-GB"/>
        </w:rPr>
        <w:t>Eoholocene</w:t>
      </w:r>
      <w:proofErr w:type="spellEnd"/>
      <w:r w:rsidRPr="08A57ED7">
        <w:rPr>
          <w:sz w:val="28"/>
          <w:szCs w:val="28"/>
          <w:lang w:val="en-GB"/>
        </w:rPr>
        <w:t xml:space="preserve"> forest zone was developed within this territory that was typical for north-west of Asia, i.e. Western Siberia. This landscape and biocoenosis has not changed up to the present moment.</w:t>
      </w:r>
      <w:r w:rsidR="001412F9">
        <w:rPr>
          <w:sz w:val="28"/>
          <w:szCs w:val="28"/>
          <w:lang w:val="en-GB"/>
        </w:rPr>
        <w:t xml:space="preserve"> </w:t>
      </w:r>
      <w:r w:rsidR="00EF4400" w:rsidRPr="00EF4400">
        <w:rPr>
          <w:color w:val="FF0000"/>
          <w:sz w:val="28"/>
          <w:szCs w:val="28"/>
          <w:lang w:val="en-GB"/>
        </w:rPr>
        <w:t>(</w:t>
      </w:r>
      <w:r w:rsidR="00A5611B">
        <w:rPr>
          <w:color w:val="FF0000"/>
          <w:sz w:val="28"/>
          <w:szCs w:val="28"/>
          <w:lang w:val="en-GB"/>
        </w:rPr>
        <w:t>Text</w:t>
      </w:r>
      <w:r w:rsidR="00A5611B">
        <w:rPr>
          <w:color w:val="FF0000"/>
          <w:sz w:val="28"/>
          <w:szCs w:val="28"/>
          <w:lang w:val="en-US"/>
        </w:rPr>
        <w:t>002</w:t>
      </w:r>
      <w:r w:rsidR="00EF4400" w:rsidRPr="00EF4400">
        <w:rPr>
          <w:color w:val="FF0000"/>
          <w:sz w:val="28"/>
          <w:szCs w:val="28"/>
          <w:lang w:val="en-GB"/>
        </w:rPr>
        <w:t>)</w:t>
      </w:r>
    </w:p>
    <w:p w:rsidR="41710CA9" w:rsidRDefault="41710CA9" w:rsidP="41710CA9">
      <w:pPr>
        <w:spacing w:line="360" w:lineRule="auto"/>
        <w:ind w:firstLine="709"/>
        <w:jc w:val="both"/>
        <w:rPr>
          <w:sz w:val="28"/>
          <w:szCs w:val="28"/>
          <w:lang w:val="en-GB"/>
        </w:rPr>
      </w:pPr>
      <w:r w:rsidRPr="41710CA9">
        <w:rPr>
          <w:sz w:val="28"/>
          <w:szCs w:val="28"/>
          <w:lang w:val="en-GB"/>
        </w:rPr>
        <w:t>The most part of the West Siberian Plai</w:t>
      </w:r>
      <w:r w:rsidR="00A5611B">
        <w:rPr>
          <w:sz w:val="28"/>
          <w:szCs w:val="28"/>
          <w:lang w:val="en-GB"/>
        </w:rPr>
        <w:t xml:space="preserve">n taiga zone, the land between </w:t>
      </w:r>
      <w:r w:rsidRPr="41710CA9">
        <w:rPr>
          <w:sz w:val="28"/>
          <w:szCs w:val="28"/>
          <w:lang w:val="en-GB"/>
        </w:rPr>
        <w:t>58° и 65° north latitude, is an administrative division of Khanty-</w:t>
      </w:r>
      <w:proofErr w:type="spellStart"/>
      <w:r w:rsidRPr="41710CA9">
        <w:rPr>
          <w:sz w:val="28"/>
          <w:szCs w:val="28"/>
          <w:lang w:val="en-GB"/>
        </w:rPr>
        <w:t>Mansiisk</w:t>
      </w:r>
      <w:proofErr w:type="spellEnd"/>
      <w:r w:rsidRPr="41710CA9">
        <w:rPr>
          <w:sz w:val="28"/>
          <w:szCs w:val="28"/>
          <w:lang w:val="en-GB"/>
        </w:rPr>
        <w:t xml:space="preserve"> autonomous district, </w:t>
      </w:r>
      <w:proofErr w:type="spellStart"/>
      <w:r w:rsidRPr="41710CA9">
        <w:rPr>
          <w:sz w:val="28"/>
          <w:szCs w:val="28"/>
          <w:lang w:val="en-GB"/>
        </w:rPr>
        <w:t>Yugra</w:t>
      </w:r>
      <w:proofErr w:type="spellEnd"/>
      <w:r w:rsidRPr="41710CA9">
        <w:rPr>
          <w:sz w:val="28"/>
          <w:szCs w:val="28"/>
          <w:lang w:val="en-GB"/>
        </w:rPr>
        <w:t xml:space="preserve">. Its territory is 535 000 </w:t>
      </w:r>
      <w:proofErr w:type="spellStart"/>
      <w:r w:rsidRPr="41710CA9">
        <w:rPr>
          <w:sz w:val="28"/>
          <w:szCs w:val="28"/>
          <w:lang w:val="en-GB"/>
        </w:rPr>
        <w:t>sq.m</w:t>
      </w:r>
      <w:proofErr w:type="spellEnd"/>
      <w:r w:rsidRPr="41710CA9">
        <w:rPr>
          <w:sz w:val="28"/>
          <w:szCs w:val="28"/>
          <w:lang w:val="en-GB"/>
        </w:rPr>
        <w:t>. Up to the present day about 6000 archaeological sites were discovered</w:t>
      </w:r>
      <w:r w:rsidR="001412F9">
        <w:rPr>
          <w:sz w:val="28"/>
          <w:szCs w:val="28"/>
          <w:lang w:val="en-GB"/>
        </w:rPr>
        <w:t xml:space="preserve"> at this region</w:t>
      </w:r>
      <w:r w:rsidRPr="41710CA9">
        <w:rPr>
          <w:sz w:val="28"/>
          <w:szCs w:val="28"/>
          <w:lang w:val="en-GB"/>
        </w:rPr>
        <w:t xml:space="preserve">. They were settlements, households, hunting facilities, places of worship, dated since the Late </w:t>
      </w:r>
      <w:proofErr w:type="spellStart"/>
      <w:r w:rsidRPr="41710CA9">
        <w:rPr>
          <w:sz w:val="28"/>
          <w:szCs w:val="28"/>
          <w:lang w:val="en-GB"/>
        </w:rPr>
        <w:t>Paleolithic</w:t>
      </w:r>
      <w:proofErr w:type="spellEnd"/>
      <w:r w:rsidRPr="41710CA9">
        <w:rPr>
          <w:sz w:val="28"/>
          <w:szCs w:val="28"/>
          <w:lang w:val="en-GB"/>
        </w:rPr>
        <w:t xml:space="preserve"> Age.</w:t>
      </w:r>
    </w:p>
    <w:p w:rsidR="41710CA9" w:rsidRPr="002B42CB" w:rsidRDefault="41710CA9" w:rsidP="41710CA9">
      <w:pPr>
        <w:spacing w:line="360" w:lineRule="auto"/>
        <w:ind w:firstLine="709"/>
        <w:jc w:val="both"/>
        <w:rPr>
          <w:sz w:val="28"/>
          <w:szCs w:val="28"/>
          <w:lang w:val="en-US"/>
        </w:rPr>
      </w:pPr>
      <w:r w:rsidRPr="41710CA9">
        <w:rPr>
          <w:sz w:val="28"/>
          <w:szCs w:val="28"/>
          <w:lang w:val="en-GB"/>
        </w:rPr>
        <w:t xml:space="preserve">In the territory of </w:t>
      </w:r>
      <w:proofErr w:type="spellStart"/>
      <w:r w:rsidRPr="41710CA9">
        <w:rPr>
          <w:sz w:val="28"/>
          <w:szCs w:val="28"/>
          <w:lang w:val="en-GB"/>
        </w:rPr>
        <w:t>Yugra</w:t>
      </w:r>
      <w:proofErr w:type="spellEnd"/>
      <w:r w:rsidRPr="41710CA9">
        <w:rPr>
          <w:sz w:val="28"/>
          <w:szCs w:val="28"/>
          <w:lang w:val="en-GB"/>
        </w:rPr>
        <w:t xml:space="preserve"> there are more archaeological sites that on the neighbour districts which have similar landscape and climate conditions. For example, to the west in the Komi Republic and Perm district there is a taiga zone of the North-East part of Europe, its total area of 576</w:t>
      </w:r>
      <w:r w:rsidR="00A5611B" w:rsidRPr="00F01F33">
        <w:rPr>
          <w:sz w:val="28"/>
          <w:szCs w:val="28"/>
          <w:lang w:val="en-US"/>
        </w:rPr>
        <w:t>000</w:t>
      </w:r>
      <w:r w:rsidRPr="41710CA9">
        <w:rPr>
          <w:sz w:val="28"/>
          <w:szCs w:val="28"/>
          <w:lang w:val="en-GB"/>
        </w:rPr>
        <w:t xml:space="preserve"> sq., where archaeological sites have been discovering for more than 100 years, there are 2455 archaeological sites. To the west in the Yamal-Nenets Autonomous District there is the zone of north taiga and tundra of the Far North of the Western Siberia, its area is 750000 sq. and there are 550 sites. The north taiga zones of the Western Siberia were densely populated in ancient times, especially the earlier </w:t>
      </w:r>
      <w:r w:rsidR="001412F9" w:rsidRPr="41710CA9">
        <w:rPr>
          <w:sz w:val="28"/>
          <w:szCs w:val="28"/>
          <w:lang w:val="en-GB"/>
        </w:rPr>
        <w:t>periods;</w:t>
      </w:r>
      <w:r w:rsidRPr="41710CA9">
        <w:rPr>
          <w:sz w:val="28"/>
          <w:szCs w:val="28"/>
          <w:lang w:val="en-GB"/>
        </w:rPr>
        <w:t xml:space="preserve"> it is a unique trait of the region. However</w:t>
      </w:r>
      <w:r w:rsidRPr="002B42CB">
        <w:rPr>
          <w:sz w:val="28"/>
          <w:szCs w:val="28"/>
          <w:lang w:val="en-US"/>
        </w:rPr>
        <w:t xml:space="preserve">, </w:t>
      </w:r>
      <w:r w:rsidRPr="41710CA9">
        <w:rPr>
          <w:sz w:val="28"/>
          <w:szCs w:val="28"/>
          <w:lang w:val="en-GB"/>
        </w:rPr>
        <w:t>this</w:t>
      </w:r>
      <w:r w:rsidR="001412F9">
        <w:rPr>
          <w:sz w:val="28"/>
          <w:szCs w:val="28"/>
          <w:lang w:val="en-GB"/>
        </w:rPr>
        <w:t xml:space="preserve"> </w:t>
      </w:r>
      <w:r w:rsidRPr="41710CA9">
        <w:rPr>
          <w:sz w:val="28"/>
          <w:szCs w:val="28"/>
          <w:lang w:val="en-GB"/>
        </w:rPr>
        <w:t>phenomenon</w:t>
      </w:r>
      <w:r w:rsidR="001412F9">
        <w:rPr>
          <w:sz w:val="28"/>
          <w:szCs w:val="28"/>
          <w:lang w:val="en-GB"/>
        </w:rPr>
        <w:t xml:space="preserve"> </w:t>
      </w:r>
      <w:r w:rsidRPr="41710CA9">
        <w:rPr>
          <w:sz w:val="28"/>
          <w:szCs w:val="28"/>
          <w:lang w:val="en-GB"/>
        </w:rPr>
        <w:t>is</w:t>
      </w:r>
      <w:r w:rsidR="001412F9">
        <w:rPr>
          <w:sz w:val="28"/>
          <w:szCs w:val="28"/>
          <w:lang w:val="en-GB"/>
        </w:rPr>
        <w:t xml:space="preserve"> </w:t>
      </w:r>
      <w:r w:rsidRPr="41710CA9">
        <w:rPr>
          <w:sz w:val="28"/>
          <w:szCs w:val="28"/>
          <w:lang w:val="en-GB"/>
        </w:rPr>
        <w:t>not</w:t>
      </w:r>
      <w:r w:rsidR="001412F9">
        <w:rPr>
          <w:sz w:val="28"/>
          <w:szCs w:val="28"/>
          <w:lang w:val="en-GB"/>
        </w:rPr>
        <w:t xml:space="preserve"> </w:t>
      </w:r>
      <w:r w:rsidRPr="41710CA9">
        <w:rPr>
          <w:sz w:val="28"/>
          <w:szCs w:val="28"/>
          <w:lang w:val="en-GB"/>
        </w:rPr>
        <w:t>investigated</w:t>
      </w:r>
      <w:r w:rsidRPr="002B42CB">
        <w:rPr>
          <w:sz w:val="28"/>
          <w:szCs w:val="28"/>
          <w:lang w:val="en-US"/>
        </w:rPr>
        <w:t xml:space="preserve">. </w:t>
      </w:r>
    </w:p>
    <w:p w:rsidR="4BA7A414" w:rsidRDefault="43DA6207" w:rsidP="43DA6207">
      <w:pPr>
        <w:spacing w:line="360" w:lineRule="auto"/>
        <w:ind w:firstLine="709"/>
        <w:jc w:val="both"/>
        <w:rPr>
          <w:sz w:val="28"/>
          <w:szCs w:val="28"/>
          <w:lang w:val="en-GB"/>
        </w:rPr>
      </w:pPr>
      <w:r w:rsidRPr="43DA6207">
        <w:rPr>
          <w:sz w:val="28"/>
          <w:szCs w:val="28"/>
          <w:lang w:val="en-GB"/>
        </w:rPr>
        <w:t xml:space="preserve">About 3000 sites among all archaeological sites in </w:t>
      </w:r>
      <w:proofErr w:type="spellStart"/>
      <w:r w:rsidRPr="43DA6207">
        <w:rPr>
          <w:sz w:val="28"/>
          <w:szCs w:val="28"/>
          <w:lang w:val="en-GB"/>
        </w:rPr>
        <w:t>Yugra</w:t>
      </w:r>
      <w:proofErr w:type="spellEnd"/>
      <w:r w:rsidRPr="43DA6207">
        <w:rPr>
          <w:sz w:val="28"/>
          <w:szCs w:val="28"/>
          <w:lang w:val="en-GB"/>
        </w:rPr>
        <w:t xml:space="preserve"> are settlements of the Neolithic and the Bronze Ages, from 7</w:t>
      </w:r>
      <w:r w:rsidRPr="001412F9">
        <w:rPr>
          <w:sz w:val="28"/>
          <w:szCs w:val="28"/>
          <w:vertAlign w:val="superscript"/>
          <w:lang w:val="en-GB"/>
        </w:rPr>
        <w:t>th</w:t>
      </w:r>
      <w:r w:rsidRPr="43DA6207">
        <w:rPr>
          <w:sz w:val="28"/>
          <w:szCs w:val="28"/>
          <w:lang w:val="en-GB"/>
        </w:rPr>
        <w:t xml:space="preserve"> millennium BC till 2</w:t>
      </w:r>
      <w:r w:rsidRPr="43DA6207">
        <w:rPr>
          <w:sz w:val="28"/>
          <w:szCs w:val="28"/>
          <w:vertAlign w:val="superscript"/>
          <w:lang w:val="en-GB"/>
        </w:rPr>
        <w:t>nd</w:t>
      </w:r>
      <w:r w:rsidRPr="43DA6207">
        <w:rPr>
          <w:sz w:val="28"/>
          <w:szCs w:val="28"/>
          <w:lang w:val="en-GB"/>
        </w:rPr>
        <w:t xml:space="preserve"> millennium BC. The most part of the sites were dated within this particular chronological diapason. </w:t>
      </w:r>
      <w:r w:rsidRPr="43DA6207">
        <w:rPr>
          <w:sz w:val="28"/>
          <w:szCs w:val="28"/>
          <w:lang w:val="en-GB"/>
        </w:rPr>
        <w:lastRenderedPageBreak/>
        <w:t>Interestingly there are few sites of the Mesolithic and the Palaeolithic periods</w:t>
      </w:r>
      <w:r w:rsidR="00F54841">
        <w:rPr>
          <w:rStyle w:val="a5"/>
          <w:sz w:val="28"/>
          <w:szCs w:val="28"/>
          <w:lang w:val="en-GB"/>
        </w:rPr>
        <w:footnoteReference w:id="1"/>
      </w:r>
      <w:r w:rsidRPr="43DA6207">
        <w:rPr>
          <w:sz w:val="28"/>
          <w:szCs w:val="28"/>
          <w:lang w:val="en-GB"/>
        </w:rPr>
        <w:t>. An average about 1500 settlements can be dated from the Neolithic period, since 7 millennium BC till 4 millennium BC, an average that means about 350-400 sites per a millennium. The precise radiocarbon determination was obtained for approximately 15 sites (about 1%). The rest were dated with the comparative typology method. Take into consideration the tendency of increasing the number of settlements from the earlier periods to the later periods, we expect, that there were from 100 to 200 settlements within the Early Neolithic period from 7 millennium BC till 6 millennium BC.</w:t>
      </w:r>
    </w:p>
    <w:p w:rsidR="43DA6207" w:rsidRDefault="43DA6207" w:rsidP="43DA6207">
      <w:pPr>
        <w:spacing w:line="360" w:lineRule="auto"/>
        <w:ind w:firstLine="709"/>
        <w:jc w:val="both"/>
        <w:rPr>
          <w:sz w:val="28"/>
          <w:szCs w:val="28"/>
          <w:lang w:val="en-GB"/>
        </w:rPr>
      </w:pPr>
      <w:r w:rsidRPr="43DA6207">
        <w:rPr>
          <w:sz w:val="28"/>
          <w:szCs w:val="28"/>
          <w:lang w:val="en-GB"/>
        </w:rPr>
        <w:t xml:space="preserve">Our statistical calculation based not only upon speculative data, but also other. It takes several decades to obtain radiocarbon determination even of the Neolithic sites based exclusively on probes materials. It is noteworthy that the north taiga territory is </w:t>
      </w:r>
      <w:proofErr w:type="spellStart"/>
      <w:r w:rsidRPr="43DA6207">
        <w:rPr>
          <w:sz w:val="28"/>
          <w:szCs w:val="28"/>
          <w:lang w:val="en-GB"/>
        </w:rPr>
        <w:t>underinvestigated</w:t>
      </w:r>
      <w:proofErr w:type="spellEnd"/>
      <w:r w:rsidRPr="43DA6207">
        <w:rPr>
          <w:sz w:val="28"/>
          <w:szCs w:val="28"/>
          <w:lang w:val="en-GB"/>
        </w:rPr>
        <w:t>, about 100 new archaeological sites are discovered there every year.</w:t>
      </w:r>
    </w:p>
    <w:p w:rsidR="43DA6207" w:rsidRDefault="43DA6207" w:rsidP="43DA6207">
      <w:pPr>
        <w:spacing w:line="360" w:lineRule="auto"/>
        <w:ind w:firstLine="709"/>
        <w:jc w:val="both"/>
        <w:rPr>
          <w:sz w:val="28"/>
          <w:szCs w:val="28"/>
          <w:lang w:val="en-GB"/>
        </w:rPr>
      </w:pPr>
      <w:r w:rsidRPr="43DA6207">
        <w:rPr>
          <w:sz w:val="28"/>
          <w:szCs w:val="28"/>
          <w:lang w:val="en-GB"/>
        </w:rPr>
        <w:t>Nevertheless, it seems to us that it would be wrong to investigate and imagine the Neolithic period of West North Plain based exclusively on several but well-dated sites, not considering the statistical data, because the precise number and precise dating may be unknown in the foreseeable future.</w:t>
      </w:r>
    </w:p>
    <w:p w:rsidR="43DA6207" w:rsidRDefault="43DA6207" w:rsidP="43DA6207">
      <w:pPr>
        <w:spacing w:line="360" w:lineRule="auto"/>
        <w:ind w:firstLine="709"/>
        <w:jc w:val="both"/>
        <w:rPr>
          <w:sz w:val="28"/>
          <w:szCs w:val="28"/>
          <w:lang w:val="en-GB"/>
        </w:rPr>
      </w:pPr>
      <w:r w:rsidRPr="43DA6207">
        <w:rPr>
          <w:sz w:val="28"/>
          <w:szCs w:val="28"/>
          <w:lang w:val="en-GB"/>
        </w:rPr>
        <w:t xml:space="preserve">Considerable number of the settlements appeared in the territory from the early Neolithic period was possible unless there were substantial food resources and its regular supply. That made it possible to appear considerably large human group, which was stable during long </w:t>
      </w:r>
      <w:r w:rsidR="001412F9" w:rsidRPr="43DA6207">
        <w:rPr>
          <w:sz w:val="28"/>
          <w:szCs w:val="28"/>
          <w:lang w:val="en-GB"/>
        </w:rPr>
        <w:t>time that</w:t>
      </w:r>
      <w:r w:rsidRPr="43DA6207">
        <w:rPr>
          <w:sz w:val="28"/>
          <w:szCs w:val="28"/>
          <w:lang w:val="en-GB"/>
        </w:rPr>
        <w:t xml:space="preserve"> was not typical for the north longitudes of Eurasia and the North America.</w:t>
      </w:r>
    </w:p>
    <w:p w:rsidR="04000B48" w:rsidRDefault="04000B48" w:rsidP="04000B48">
      <w:pPr>
        <w:spacing w:line="360" w:lineRule="auto"/>
        <w:ind w:firstLine="709"/>
        <w:jc w:val="both"/>
        <w:rPr>
          <w:sz w:val="28"/>
          <w:szCs w:val="28"/>
          <w:lang w:val="en-GB"/>
        </w:rPr>
      </w:pPr>
      <w:r w:rsidRPr="04000B48">
        <w:rPr>
          <w:sz w:val="28"/>
          <w:szCs w:val="28"/>
          <w:lang w:val="en-GB"/>
        </w:rPr>
        <w:t xml:space="preserve">At the moment about 4 out of all sites (minimum 100) of early Neolithic period </w:t>
      </w:r>
      <w:r w:rsidR="00740369" w:rsidRPr="04000B48">
        <w:rPr>
          <w:sz w:val="28"/>
          <w:szCs w:val="28"/>
          <w:lang w:val="en-GB"/>
        </w:rPr>
        <w:t>are conclusively the sites</w:t>
      </w:r>
      <w:r w:rsidRPr="04000B48">
        <w:rPr>
          <w:sz w:val="28"/>
          <w:szCs w:val="28"/>
          <w:lang w:val="en-GB"/>
        </w:rPr>
        <w:t xml:space="preserve"> of </w:t>
      </w:r>
      <w:proofErr w:type="spellStart"/>
      <w:r w:rsidRPr="00D72A28">
        <w:rPr>
          <w:b/>
          <w:sz w:val="28"/>
          <w:szCs w:val="28"/>
          <w:lang w:val="en-GB"/>
        </w:rPr>
        <w:t>Kayukovsky</w:t>
      </w:r>
      <w:proofErr w:type="spellEnd"/>
      <w:r w:rsidRPr="04000B48">
        <w:rPr>
          <w:sz w:val="28"/>
          <w:szCs w:val="28"/>
          <w:lang w:val="en-GB"/>
        </w:rPr>
        <w:t xml:space="preserve"> culture</w:t>
      </w:r>
      <w:r w:rsidR="00EF4400">
        <w:rPr>
          <w:sz w:val="28"/>
          <w:szCs w:val="28"/>
          <w:lang w:val="en-GB"/>
        </w:rPr>
        <w:t xml:space="preserve">. </w:t>
      </w:r>
      <w:r w:rsidR="00EF4400" w:rsidRPr="00EF4400">
        <w:rPr>
          <w:color w:val="FF0000"/>
          <w:sz w:val="28"/>
          <w:szCs w:val="28"/>
          <w:lang w:val="en-GB"/>
        </w:rPr>
        <w:t xml:space="preserve">(Fig. </w:t>
      </w:r>
      <w:r w:rsidR="00A5611B" w:rsidRPr="00A5611B">
        <w:rPr>
          <w:color w:val="FF0000"/>
          <w:sz w:val="28"/>
          <w:szCs w:val="28"/>
          <w:lang w:val="en-US"/>
        </w:rPr>
        <w:t>003</w:t>
      </w:r>
      <w:r w:rsidR="00EF4400" w:rsidRPr="00EF4400">
        <w:rPr>
          <w:color w:val="FF0000"/>
          <w:sz w:val="28"/>
          <w:szCs w:val="28"/>
          <w:lang w:val="en-GB"/>
        </w:rPr>
        <w:t>)</w:t>
      </w:r>
      <w:r w:rsidR="001412F9">
        <w:rPr>
          <w:color w:val="FF0000"/>
          <w:sz w:val="28"/>
          <w:szCs w:val="28"/>
          <w:lang w:val="en-GB"/>
        </w:rPr>
        <w:t xml:space="preserve"> </w:t>
      </w:r>
      <w:proofErr w:type="spellStart"/>
      <w:r w:rsidRPr="04000B48">
        <w:rPr>
          <w:sz w:val="28"/>
          <w:szCs w:val="28"/>
          <w:lang w:val="en-GB"/>
        </w:rPr>
        <w:t>Kayukovo</w:t>
      </w:r>
      <w:proofErr w:type="spellEnd"/>
      <w:r w:rsidRPr="04000B48">
        <w:rPr>
          <w:sz w:val="28"/>
          <w:szCs w:val="28"/>
          <w:lang w:val="en-GB"/>
        </w:rPr>
        <w:t xml:space="preserve"> 2 is a primary site, </w:t>
      </w:r>
      <w:proofErr w:type="spellStart"/>
      <w:r w:rsidRPr="00D72A28">
        <w:rPr>
          <w:b/>
          <w:sz w:val="28"/>
          <w:szCs w:val="28"/>
          <w:lang w:val="en-GB"/>
        </w:rPr>
        <w:t>Kayukovsky</w:t>
      </w:r>
      <w:proofErr w:type="spellEnd"/>
      <w:r w:rsidRPr="04000B48">
        <w:rPr>
          <w:sz w:val="28"/>
          <w:szCs w:val="28"/>
          <w:lang w:val="en-GB"/>
        </w:rPr>
        <w:t xml:space="preserve"> culture was recognized on the basis of this site excavation. Briefly, this culture is characterized with settlements consist of 5-6 regularly planned houses, the pottery vessels with flat bottom and specific shape. We will tell more on that later. The pottery similar with </w:t>
      </w:r>
      <w:proofErr w:type="spellStart"/>
      <w:r w:rsidRPr="00D72A28">
        <w:rPr>
          <w:b/>
          <w:sz w:val="28"/>
          <w:szCs w:val="28"/>
          <w:lang w:val="en-GB"/>
        </w:rPr>
        <w:t>Kayukovsky</w:t>
      </w:r>
      <w:proofErr w:type="spellEnd"/>
      <w:r w:rsidRPr="04000B48">
        <w:rPr>
          <w:sz w:val="28"/>
          <w:szCs w:val="28"/>
          <w:lang w:val="en-GB"/>
        </w:rPr>
        <w:t xml:space="preserve"> pottery occur </w:t>
      </w:r>
      <w:r w:rsidRPr="04000B48">
        <w:rPr>
          <w:sz w:val="28"/>
          <w:szCs w:val="28"/>
          <w:lang w:val="en-GB"/>
        </w:rPr>
        <w:lastRenderedPageBreak/>
        <w:t xml:space="preserve">in other sites of the north of the West Siberia, for example, </w:t>
      </w:r>
      <w:proofErr w:type="spellStart"/>
      <w:r w:rsidRPr="04000B48">
        <w:rPr>
          <w:sz w:val="28"/>
          <w:szCs w:val="28"/>
          <w:lang w:val="en-GB"/>
        </w:rPr>
        <w:t>Chortova</w:t>
      </w:r>
      <w:proofErr w:type="spellEnd"/>
      <w:r w:rsidR="00844308">
        <w:rPr>
          <w:sz w:val="28"/>
          <w:szCs w:val="28"/>
          <w:lang w:val="en-GB"/>
        </w:rPr>
        <w:t xml:space="preserve"> </w:t>
      </w:r>
      <w:proofErr w:type="spellStart"/>
      <w:r w:rsidRPr="04000B48">
        <w:rPr>
          <w:sz w:val="28"/>
          <w:szCs w:val="28"/>
          <w:lang w:val="en-GB"/>
        </w:rPr>
        <w:t>gora</w:t>
      </w:r>
      <w:proofErr w:type="spellEnd"/>
      <w:r w:rsidRPr="04000B48">
        <w:rPr>
          <w:sz w:val="28"/>
          <w:szCs w:val="28"/>
          <w:lang w:val="en-GB"/>
        </w:rPr>
        <w:t xml:space="preserve"> site, although these materials were not analysed under a comprehensive approach, so it is impossible to be sure that they are a part of  </w:t>
      </w:r>
      <w:proofErr w:type="spellStart"/>
      <w:r w:rsidRPr="00D72A28">
        <w:rPr>
          <w:b/>
          <w:sz w:val="28"/>
          <w:szCs w:val="28"/>
          <w:lang w:val="en-GB"/>
        </w:rPr>
        <w:t>Kayukovsky</w:t>
      </w:r>
      <w:proofErr w:type="spellEnd"/>
      <w:r w:rsidR="00844308">
        <w:rPr>
          <w:b/>
          <w:sz w:val="28"/>
          <w:szCs w:val="28"/>
          <w:lang w:val="en-GB"/>
        </w:rPr>
        <w:t xml:space="preserve"> </w:t>
      </w:r>
      <w:r w:rsidRPr="04000B48">
        <w:rPr>
          <w:sz w:val="28"/>
          <w:szCs w:val="28"/>
          <w:lang w:val="en-GB"/>
        </w:rPr>
        <w:t>culture.</w:t>
      </w:r>
      <w:r w:rsidR="00844308">
        <w:rPr>
          <w:sz w:val="28"/>
          <w:szCs w:val="28"/>
          <w:lang w:val="en-GB"/>
        </w:rPr>
        <w:t xml:space="preserve"> </w:t>
      </w:r>
      <w:r w:rsidR="00A5611B" w:rsidRPr="00A5611B">
        <w:rPr>
          <w:color w:val="FF0000"/>
          <w:sz w:val="28"/>
          <w:szCs w:val="28"/>
          <w:lang w:val="en-GB"/>
        </w:rPr>
        <w:t>(Text</w:t>
      </w:r>
      <w:r w:rsidR="00A5611B" w:rsidRPr="00493A9F">
        <w:rPr>
          <w:color w:val="FF0000"/>
          <w:sz w:val="28"/>
          <w:szCs w:val="28"/>
          <w:lang w:val="en-US"/>
        </w:rPr>
        <w:t>,</w:t>
      </w:r>
      <w:r w:rsidR="00A5611B" w:rsidRPr="00A5611B">
        <w:rPr>
          <w:color w:val="FF0000"/>
          <w:sz w:val="28"/>
          <w:szCs w:val="28"/>
          <w:lang w:val="en-US"/>
        </w:rPr>
        <w:t xml:space="preserve"> fig</w:t>
      </w:r>
      <w:r w:rsidR="00A5611B" w:rsidRPr="00A5611B">
        <w:rPr>
          <w:color w:val="FF0000"/>
          <w:sz w:val="28"/>
          <w:szCs w:val="28"/>
          <w:lang w:val="en-GB"/>
        </w:rPr>
        <w:t xml:space="preserve"> 004)</w:t>
      </w:r>
    </w:p>
    <w:p w:rsidR="04000B48" w:rsidRDefault="04000B48" w:rsidP="04000B48">
      <w:pPr>
        <w:pStyle w:val="2"/>
        <w:spacing w:line="360" w:lineRule="auto"/>
        <w:rPr>
          <w:szCs w:val="28"/>
          <w:lang w:val="en-GB"/>
        </w:rPr>
      </w:pPr>
      <w:r w:rsidRPr="04000B48">
        <w:rPr>
          <w:lang w:val="en-GB"/>
        </w:rPr>
        <w:t xml:space="preserve">As a part of </w:t>
      </w:r>
      <w:proofErr w:type="spellStart"/>
      <w:r w:rsidRPr="00D72A28">
        <w:rPr>
          <w:b/>
          <w:szCs w:val="28"/>
          <w:lang w:val="en-GB"/>
        </w:rPr>
        <w:t>Kayukovsky</w:t>
      </w:r>
      <w:proofErr w:type="spellEnd"/>
      <w:r w:rsidR="00844308">
        <w:rPr>
          <w:b/>
          <w:szCs w:val="28"/>
          <w:lang w:val="en-GB"/>
        </w:rPr>
        <w:t xml:space="preserve"> </w:t>
      </w:r>
      <w:r w:rsidRPr="04000B48">
        <w:rPr>
          <w:szCs w:val="28"/>
          <w:lang w:val="en-GB"/>
        </w:rPr>
        <w:t xml:space="preserve">culture we will present the defensive and settlement complex </w:t>
      </w:r>
      <w:proofErr w:type="spellStart"/>
      <w:r w:rsidRPr="04000B48">
        <w:rPr>
          <w:szCs w:val="28"/>
          <w:lang w:val="en-GB"/>
        </w:rPr>
        <w:t>Kayukovo</w:t>
      </w:r>
      <w:proofErr w:type="spellEnd"/>
      <w:r w:rsidRPr="04000B48">
        <w:rPr>
          <w:szCs w:val="28"/>
          <w:lang w:val="en-GB"/>
        </w:rPr>
        <w:t xml:space="preserve"> 2, it is the best researched with archaeological excavations site. It is situated near the </w:t>
      </w:r>
      <w:proofErr w:type="spellStart"/>
      <w:r w:rsidRPr="04000B48">
        <w:rPr>
          <w:szCs w:val="28"/>
          <w:lang w:val="en-GB"/>
        </w:rPr>
        <w:t>Bolshoye</w:t>
      </w:r>
      <w:proofErr w:type="spellEnd"/>
      <w:r w:rsidR="00844308">
        <w:rPr>
          <w:szCs w:val="28"/>
          <w:lang w:val="en-GB"/>
        </w:rPr>
        <w:t xml:space="preserve"> </w:t>
      </w:r>
      <w:proofErr w:type="spellStart"/>
      <w:r w:rsidRPr="04000B48">
        <w:rPr>
          <w:szCs w:val="28"/>
          <w:lang w:val="en-GB"/>
        </w:rPr>
        <w:t>Kayukovo</w:t>
      </w:r>
      <w:proofErr w:type="spellEnd"/>
      <w:r w:rsidRPr="04000B48">
        <w:rPr>
          <w:szCs w:val="28"/>
          <w:lang w:val="en-GB"/>
        </w:rPr>
        <w:t xml:space="preserve"> lake in the watershed of </w:t>
      </w:r>
      <w:r w:rsidR="00844308">
        <w:rPr>
          <w:szCs w:val="28"/>
          <w:lang w:val="en-GB"/>
        </w:rPr>
        <w:t xml:space="preserve">the </w:t>
      </w:r>
      <w:proofErr w:type="spellStart"/>
      <w:r w:rsidRPr="04000B48">
        <w:rPr>
          <w:szCs w:val="28"/>
          <w:lang w:val="en-GB"/>
        </w:rPr>
        <w:t>Bolshoy</w:t>
      </w:r>
      <w:proofErr w:type="spellEnd"/>
      <w:r w:rsidR="00844308">
        <w:rPr>
          <w:szCs w:val="28"/>
          <w:lang w:val="en-GB"/>
        </w:rPr>
        <w:t xml:space="preserve"> </w:t>
      </w:r>
      <w:proofErr w:type="spellStart"/>
      <w:r w:rsidRPr="04000B48">
        <w:rPr>
          <w:szCs w:val="28"/>
          <w:lang w:val="en-GB"/>
        </w:rPr>
        <w:t>Salym</w:t>
      </w:r>
      <w:proofErr w:type="spellEnd"/>
      <w:r w:rsidRPr="04000B48">
        <w:rPr>
          <w:szCs w:val="28"/>
          <w:lang w:val="en-GB"/>
        </w:rPr>
        <w:t xml:space="preserve"> river and </w:t>
      </w:r>
      <w:r w:rsidR="00844308">
        <w:rPr>
          <w:szCs w:val="28"/>
          <w:lang w:val="en-GB"/>
        </w:rPr>
        <w:t xml:space="preserve">the </w:t>
      </w:r>
      <w:proofErr w:type="spellStart"/>
      <w:r w:rsidRPr="04000B48">
        <w:rPr>
          <w:szCs w:val="28"/>
          <w:lang w:val="en-GB"/>
        </w:rPr>
        <w:t>Bolshoy</w:t>
      </w:r>
      <w:proofErr w:type="spellEnd"/>
      <w:r w:rsidRPr="04000B48">
        <w:rPr>
          <w:szCs w:val="28"/>
          <w:lang w:val="en-GB"/>
        </w:rPr>
        <w:t xml:space="preserve"> Yugan river (the left tributaries of the Ob’ river), in </w:t>
      </w:r>
      <w:r w:rsidR="00844308">
        <w:rPr>
          <w:szCs w:val="28"/>
          <w:lang w:val="en-GB"/>
        </w:rPr>
        <w:t xml:space="preserve">the </w:t>
      </w:r>
      <w:proofErr w:type="spellStart"/>
      <w:r w:rsidRPr="04000B48">
        <w:rPr>
          <w:szCs w:val="28"/>
          <w:lang w:val="en-GB"/>
        </w:rPr>
        <w:t>Nefte-Yugansk</w:t>
      </w:r>
      <w:proofErr w:type="spellEnd"/>
      <w:r w:rsidRPr="04000B48">
        <w:rPr>
          <w:szCs w:val="28"/>
          <w:lang w:val="en-GB"/>
        </w:rPr>
        <w:t xml:space="preserve"> region of </w:t>
      </w:r>
      <w:r w:rsidR="00844308">
        <w:rPr>
          <w:szCs w:val="28"/>
          <w:lang w:val="en-GB"/>
        </w:rPr>
        <w:t xml:space="preserve">the </w:t>
      </w:r>
      <w:r w:rsidRPr="04000B48">
        <w:rPr>
          <w:szCs w:val="28"/>
          <w:lang w:val="en-GB"/>
        </w:rPr>
        <w:t>Khanty-</w:t>
      </w:r>
      <w:proofErr w:type="spellStart"/>
      <w:r w:rsidRPr="04000B48">
        <w:rPr>
          <w:szCs w:val="28"/>
          <w:lang w:val="en-GB"/>
        </w:rPr>
        <w:t>Mansiisk</w:t>
      </w:r>
      <w:proofErr w:type="spellEnd"/>
      <w:r w:rsidRPr="04000B48">
        <w:rPr>
          <w:szCs w:val="28"/>
          <w:lang w:val="en-GB"/>
        </w:rPr>
        <w:t xml:space="preserve"> autonomous district, </w:t>
      </w:r>
      <w:proofErr w:type="spellStart"/>
      <w:r w:rsidRPr="04000B48">
        <w:rPr>
          <w:szCs w:val="28"/>
          <w:lang w:val="en-GB"/>
        </w:rPr>
        <w:t>Yugra</w:t>
      </w:r>
      <w:proofErr w:type="spellEnd"/>
      <w:r w:rsidRPr="04000B48">
        <w:rPr>
          <w:szCs w:val="28"/>
          <w:lang w:val="en-GB"/>
        </w:rPr>
        <w:t xml:space="preserve">. </w:t>
      </w:r>
      <w:proofErr w:type="spellStart"/>
      <w:r w:rsidRPr="04000B48">
        <w:rPr>
          <w:szCs w:val="28"/>
          <w:lang w:val="en-GB"/>
        </w:rPr>
        <w:t>Kayukovo</w:t>
      </w:r>
      <w:proofErr w:type="spellEnd"/>
      <w:r w:rsidRPr="04000B48">
        <w:rPr>
          <w:szCs w:val="28"/>
          <w:lang w:val="en-GB"/>
        </w:rPr>
        <w:t xml:space="preserve"> 2 was named after the family name of the </w:t>
      </w:r>
      <w:proofErr w:type="spellStart"/>
      <w:r w:rsidRPr="04000B48">
        <w:rPr>
          <w:szCs w:val="28"/>
          <w:lang w:val="en-GB"/>
        </w:rPr>
        <w:t>khant</w:t>
      </w:r>
      <w:proofErr w:type="spellEnd"/>
      <w:r w:rsidRPr="04000B48">
        <w:rPr>
          <w:szCs w:val="28"/>
          <w:lang w:val="en-GB"/>
        </w:rPr>
        <w:t xml:space="preserve"> people, who are living near this site in </w:t>
      </w:r>
      <w:proofErr w:type="spellStart"/>
      <w:r w:rsidRPr="04000B48">
        <w:rPr>
          <w:szCs w:val="28"/>
          <w:lang w:val="en-GB"/>
        </w:rPr>
        <w:t>Punsy</w:t>
      </w:r>
      <w:proofErr w:type="spellEnd"/>
      <w:r w:rsidR="0026708E">
        <w:rPr>
          <w:szCs w:val="28"/>
          <w:lang w:val="en-GB"/>
        </w:rPr>
        <w:t xml:space="preserve"> </w:t>
      </w:r>
      <w:proofErr w:type="spellStart"/>
      <w:proofErr w:type="gramStart"/>
      <w:r w:rsidRPr="04000B48">
        <w:rPr>
          <w:szCs w:val="28"/>
          <w:lang w:val="en-GB"/>
        </w:rPr>
        <w:t>yurtas</w:t>
      </w:r>
      <w:proofErr w:type="spellEnd"/>
      <w:r w:rsidRPr="04000B48">
        <w:rPr>
          <w:szCs w:val="28"/>
          <w:lang w:val="en-GB"/>
        </w:rPr>
        <w:t>.</w:t>
      </w:r>
      <w:r w:rsidR="00A5611B" w:rsidRPr="00EF4400">
        <w:rPr>
          <w:color w:val="FF0000"/>
          <w:szCs w:val="28"/>
          <w:lang w:val="en-GB"/>
        </w:rPr>
        <w:t>(</w:t>
      </w:r>
      <w:proofErr w:type="gramEnd"/>
      <w:r w:rsidR="00A5611B" w:rsidRPr="00EF4400">
        <w:rPr>
          <w:color w:val="FF0000"/>
          <w:szCs w:val="28"/>
          <w:lang w:val="en-GB"/>
        </w:rPr>
        <w:t xml:space="preserve">Fig. </w:t>
      </w:r>
      <w:r w:rsidR="00A5611B">
        <w:rPr>
          <w:color w:val="FF0000"/>
          <w:szCs w:val="28"/>
          <w:lang w:val="en-GB"/>
        </w:rPr>
        <w:t>005, fig 006, text 00</w:t>
      </w:r>
      <w:r w:rsidR="00F54841">
        <w:rPr>
          <w:color w:val="FF0000"/>
          <w:szCs w:val="28"/>
          <w:lang w:val="en-GB"/>
        </w:rPr>
        <w:t>7</w:t>
      </w:r>
      <w:r w:rsidR="00A5611B" w:rsidRPr="00EF4400">
        <w:rPr>
          <w:color w:val="FF0000"/>
          <w:szCs w:val="28"/>
          <w:lang w:val="en-GB"/>
        </w:rPr>
        <w:t>)</w:t>
      </w:r>
    </w:p>
    <w:p w:rsidR="00493A9F" w:rsidRPr="00493A9F" w:rsidRDefault="04000B48" w:rsidP="04000B48">
      <w:pPr>
        <w:pStyle w:val="2"/>
        <w:spacing w:line="360" w:lineRule="auto"/>
        <w:rPr>
          <w:lang w:val="en-US"/>
        </w:rPr>
      </w:pPr>
      <w:r w:rsidRPr="00EF4400">
        <w:rPr>
          <w:lang w:val="en-GB"/>
        </w:rPr>
        <w:t xml:space="preserve">The site was discovered in 1991 and was initially investigated by the survey work group of </w:t>
      </w:r>
      <w:proofErr w:type="spellStart"/>
      <w:r w:rsidRPr="00EF4400">
        <w:rPr>
          <w:lang w:val="en-GB"/>
        </w:rPr>
        <w:t>Vizgalov</w:t>
      </w:r>
      <w:proofErr w:type="spellEnd"/>
      <w:r w:rsidRPr="00EF4400">
        <w:rPr>
          <w:lang w:val="en-GB"/>
        </w:rPr>
        <w:t xml:space="preserve"> G.P. In 2000-2002 the archaeological excavations were directed by </w:t>
      </w:r>
      <w:proofErr w:type="spellStart"/>
      <w:r w:rsidRPr="00EF4400">
        <w:rPr>
          <w:lang w:val="en-GB"/>
        </w:rPr>
        <w:t>Kardash</w:t>
      </w:r>
      <w:proofErr w:type="spellEnd"/>
      <w:r w:rsidRPr="00EF4400">
        <w:rPr>
          <w:lang w:val="en-GB"/>
        </w:rPr>
        <w:t xml:space="preserve"> O.V. </w:t>
      </w:r>
      <w:r w:rsidR="00493A9F">
        <w:rPr>
          <w:lang w:val="en-US"/>
        </w:rPr>
        <w:t>In the summer of 2018 the excavation was continue</w:t>
      </w:r>
      <w:r w:rsidR="0026708E">
        <w:rPr>
          <w:lang w:val="en-US"/>
        </w:rPr>
        <w:t>d by the international expedition organized by autonomous non-profit organization Institute of the archaeology of the North</w:t>
      </w:r>
      <w:r w:rsidR="00CC2DA2">
        <w:rPr>
          <w:lang w:val="en-US"/>
        </w:rPr>
        <w:t xml:space="preserve">, </w:t>
      </w:r>
      <w:r w:rsidR="00CC2DA2" w:rsidRPr="00CC2DA2">
        <w:rPr>
          <w:lang w:val="en-US"/>
        </w:rPr>
        <w:t>Scientific Production Association</w:t>
      </w:r>
      <w:r w:rsidR="00CC2DA2">
        <w:rPr>
          <w:lang w:val="en-US"/>
        </w:rPr>
        <w:t xml:space="preserve"> ‘The Northern Archaeology’ in partnership with the Institute of History and Archaeology of  the Ural branch of the Russian Academy of Science, under the charge of </w:t>
      </w:r>
      <w:proofErr w:type="spellStart"/>
      <w:r w:rsidR="004566E6">
        <w:rPr>
          <w:lang w:val="en-US"/>
        </w:rPr>
        <w:t>Chairkina</w:t>
      </w:r>
      <w:proofErr w:type="spellEnd"/>
      <w:r w:rsidR="004566E6">
        <w:rPr>
          <w:lang w:val="en-US"/>
        </w:rPr>
        <w:t xml:space="preserve"> N.M. and </w:t>
      </w:r>
      <w:proofErr w:type="spellStart"/>
      <w:r w:rsidR="004566E6" w:rsidRPr="004566E6">
        <w:rPr>
          <w:lang w:val="en-GB"/>
        </w:rPr>
        <w:t>Institut</w:t>
      </w:r>
      <w:proofErr w:type="spellEnd"/>
      <w:r w:rsidR="004566E6" w:rsidRPr="004566E6">
        <w:rPr>
          <w:lang w:val="en-US"/>
        </w:rPr>
        <w:t xml:space="preserve"> </w:t>
      </w:r>
      <w:r w:rsidR="004566E6" w:rsidRPr="004566E6">
        <w:rPr>
          <w:lang w:val="en-GB"/>
        </w:rPr>
        <w:t>f</w:t>
      </w:r>
      <w:r w:rsidR="004566E6" w:rsidRPr="004566E6">
        <w:rPr>
          <w:lang w:val="en-US"/>
        </w:rPr>
        <w:t>ü</w:t>
      </w:r>
      <w:r w:rsidR="004566E6" w:rsidRPr="004566E6">
        <w:rPr>
          <w:lang w:val="en-GB"/>
        </w:rPr>
        <w:t>r</w:t>
      </w:r>
      <w:r w:rsidR="004566E6" w:rsidRPr="004566E6">
        <w:rPr>
          <w:lang w:val="en-US"/>
        </w:rPr>
        <w:t xml:space="preserve"> </w:t>
      </w:r>
      <w:r w:rsidR="004566E6" w:rsidRPr="004566E6">
        <w:rPr>
          <w:lang w:val="en-GB"/>
        </w:rPr>
        <w:t>Ur</w:t>
      </w:r>
      <w:r w:rsidR="004566E6" w:rsidRPr="004566E6">
        <w:rPr>
          <w:lang w:val="en-US"/>
        </w:rPr>
        <w:t xml:space="preserve">- </w:t>
      </w:r>
      <w:r w:rsidR="004566E6" w:rsidRPr="004566E6">
        <w:rPr>
          <w:lang w:val="en-GB"/>
        </w:rPr>
        <w:t>und</w:t>
      </w:r>
      <w:r w:rsidR="004566E6" w:rsidRPr="004566E6">
        <w:rPr>
          <w:lang w:val="en-US"/>
        </w:rPr>
        <w:t xml:space="preserve"> </w:t>
      </w:r>
      <w:r w:rsidR="004566E6" w:rsidRPr="004566E6">
        <w:rPr>
          <w:lang w:val="en-GB"/>
        </w:rPr>
        <w:t>Fr</w:t>
      </w:r>
      <w:r w:rsidR="004566E6" w:rsidRPr="004566E6">
        <w:rPr>
          <w:lang w:val="en-US"/>
        </w:rPr>
        <w:t>ü</w:t>
      </w:r>
      <w:proofErr w:type="spellStart"/>
      <w:r w:rsidR="004566E6" w:rsidRPr="004566E6">
        <w:rPr>
          <w:lang w:val="en-GB"/>
        </w:rPr>
        <w:t>hgeschichte</w:t>
      </w:r>
      <w:proofErr w:type="spellEnd"/>
      <w:r w:rsidR="004566E6" w:rsidRPr="004566E6">
        <w:rPr>
          <w:lang w:val="en-US"/>
        </w:rPr>
        <w:t xml:space="preserve"> </w:t>
      </w:r>
      <w:r w:rsidR="004566E6" w:rsidRPr="004566E6">
        <w:rPr>
          <w:lang w:val="en-GB"/>
        </w:rPr>
        <w:t>Christian</w:t>
      </w:r>
      <w:r w:rsidR="004566E6" w:rsidRPr="004566E6">
        <w:rPr>
          <w:lang w:val="en-US"/>
        </w:rPr>
        <w:t>-</w:t>
      </w:r>
      <w:proofErr w:type="spellStart"/>
      <w:r w:rsidR="004566E6" w:rsidRPr="004566E6">
        <w:rPr>
          <w:lang w:val="en-GB"/>
        </w:rPr>
        <w:t>Albrechts</w:t>
      </w:r>
      <w:proofErr w:type="spellEnd"/>
      <w:r w:rsidR="004566E6" w:rsidRPr="004566E6">
        <w:rPr>
          <w:lang w:val="en-US"/>
        </w:rPr>
        <w:t>-</w:t>
      </w:r>
      <w:proofErr w:type="spellStart"/>
      <w:r w:rsidR="004566E6" w:rsidRPr="004566E6">
        <w:rPr>
          <w:lang w:val="en-GB"/>
        </w:rPr>
        <w:t>Universit</w:t>
      </w:r>
      <w:proofErr w:type="spellEnd"/>
      <w:r w:rsidR="004566E6" w:rsidRPr="004566E6">
        <w:rPr>
          <w:lang w:val="en-US"/>
        </w:rPr>
        <w:t>ä</w:t>
      </w:r>
      <w:r w:rsidR="004566E6" w:rsidRPr="004566E6">
        <w:rPr>
          <w:lang w:val="en-GB"/>
        </w:rPr>
        <w:t>t</w:t>
      </w:r>
      <w:r w:rsidR="004566E6" w:rsidRPr="004566E6">
        <w:rPr>
          <w:lang w:val="en-US"/>
        </w:rPr>
        <w:t xml:space="preserve"> </w:t>
      </w:r>
      <w:proofErr w:type="spellStart"/>
      <w:r w:rsidR="004566E6" w:rsidRPr="004566E6">
        <w:rPr>
          <w:lang w:val="en-GB"/>
        </w:rPr>
        <w:t>zu</w:t>
      </w:r>
      <w:proofErr w:type="spellEnd"/>
      <w:r w:rsidR="004566E6" w:rsidRPr="004566E6">
        <w:rPr>
          <w:lang w:val="en-US"/>
        </w:rPr>
        <w:t xml:space="preserve"> </w:t>
      </w:r>
      <w:r w:rsidR="004566E6" w:rsidRPr="004566E6">
        <w:rPr>
          <w:lang w:val="en-GB"/>
        </w:rPr>
        <w:t>Kiel</w:t>
      </w:r>
      <w:r w:rsidR="004566E6" w:rsidRPr="004566E6">
        <w:rPr>
          <w:lang w:val="en-US"/>
        </w:rPr>
        <w:t xml:space="preserve"> </w:t>
      </w:r>
      <w:r w:rsidR="004566E6">
        <w:rPr>
          <w:lang w:val="en-US"/>
        </w:rPr>
        <w:t>under the charge of</w:t>
      </w:r>
      <w:r w:rsidR="004566E6" w:rsidRPr="004566E6">
        <w:rPr>
          <w:lang w:val="en-US"/>
        </w:rPr>
        <w:t xml:space="preserve"> </w:t>
      </w:r>
      <w:r w:rsidR="004566E6" w:rsidRPr="004566E6">
        <w:rPr>
          <w:lang w:val="en-GB"/>
        </w:rPr>
        <w:t>Prof</w:t>
      </w:r>
      <w:r w:rsidR="004566E6" w:rsidRPr="004566E6">
        <w:rPr>
          <w:lang w:val="en-US"/>
        </w:rPr>
        <w:t xml:space="preserve">. </w:t>
      </w:r>
      <w:r w:rsidR="004566E6" w:rsidRPr="004566E6">
        <w:rPr>
          <w:lang w:val="en-GB"/>
        </w:rPr>
        <w:t>Dr</w:t>
      </w:r>
      <w:r w:rsidR="004566E6" w:rsidRPr="004566E6">
        <w:rPr>
          <w:lang w:val="en-US"/>
        </w:rPr>
        <w:t xml:space="preserve">. </w:t>
      </w:r>
      <w:r w:rsidR="004566E6" w:rsidRPr="004566E6">
        <w:rPr>
          <w:lang w:val="en-GB"/>
        </w:rPr>
        <w:t>Henny</w:t>
      </w:r>
      <w:r w:rsidR="004566E6" w:rsidRPr="004566E6">
        <w:rPr>
          <w:lang w:val="en-US"/>
        </w:rPr>
        <w:t xml:space="preserve"> </w:t>
      </w:r>
      <w:proofErr w:type="spellStart"/>
      <w:r w:rsidR="004566E6" w:rsidRPr="004566E6">
        <w:rPr>
          <w:lang w:val="en-GB"/>
        </w:rPr>
        <w:t>Piezonka</w:t>
      </w:r>
      <w:proofErr w:type="spellEnd"/>
      <w:r w:rsidR="004566E6" w:rsidRPr="004566E6">
        <w:rPr>
          <w:lang w:val="en-US"/>
        </w:rPr>
        <w:t>.</w:t>
      </w:r>
    </w:p>
    <w:p w:rsidR="00040675" w:rsidRPr="00A5611B" w:rsidRDefault="04000B48" w:rsidP="04000B48">
      <w:pPr>
        <w:pStyle w:val="2"/>
        <w:spacing w:line="360" w:lineRule="auto"/>
        <w:rPr>
          <w:szCs w:val="28"/>
          <w:vertAlign w:val="superscript"/>
          <w:lang w:val="en-GB"/>
        </w:rPr>
      </w:pPr>
      <w:r w:rsidRPr="04000B48">
        <w:rPr>
          <w:lang w:val="en-GB"/>
        </w:rPr>
        <w:t xml:space="preserve">The functioning time of </w:t>
      </w:r>
      <w:proofErr w:type="spellStart"/>
      <w:r w:rsidRPr="04000B48">
        <w:rPr>
          <w:lang w:val="en-GB"/>
        </w:rPr>
        <w:t>Kayukovo</w:t>
      </w:r>
      <w:proofErr w:type="spellEnd"/>
      <w:r w:rsidRPr="04000B48">
        <w:rPr>
          <w:lang w:val="en-GB"/>
        </w:rPr>
        <w:t xml:space="preserve"> 2 was determined with the radiocarbon dating method. During 3 years of the excavation, radiocarbon dating was obtained for 10 finds, although the earliest data were obtained from the sample of the deepest part of the layers. There are two of them, which were cross-dated in the laboratory of SB RAS (Siberian Branch of the Russian Academy of Sciences) in Novosibirsk and the Institute for the History of Material Culture of the Russian Academy of Sciences in Saint-Petersburg. </w:t>
      </w:r>
      <w:r w:rsidRPr="00EF4400">
        <w:rPr>
          <w:color w:val="FF0000"/>
          <w:lang w:val="en-GB"/>
        </w:rPr>
        <w:t>(</w:t>
      </w:r>
      <w:r w:rsidR="00A5611B">
        <w:rPr>
          <w:color w:val="FF0000"/>
          <w:lang w:val="en-GB"/>
        </w:rPr>
        <w:t>Text</w:t>
      </w:r>
      <w:r w:rsidRPr="00EF4400">
        <w:rPr>
          <w:color w:val="FF0000"/>
          <w:lang w:val="en-GB"/>
        </w:rPr>
        <w:t xml:space="preserve">. </w:t>
      </w:r>
      <w:r w:rsidR="00A5611B">
        <w:rPr>
          <w:color w:val="FF0000"/>
          <w:lang w:val="en-GB"/>
        </w:rPr>
        <w:t>00</w:t>
      </w:r>
      <w:r w:rsidR="00F54841">
        <w:rPr>
          <w:color w:val="FF0000"/>
          <w:lang w:val="en-GB"/>
        </w:rPr>
        <w:t>8</w:t>
      </w:r>
      <w:r w:rsidRPr="00EF4400">
        <w:rPr>
          <w:color w:val="FF0000"/>
          <w:lang w:val="en-GB"/>
        </w:rPr>
        <w:t>)</w:t>
      </w:r>
      <w:r w:rsidRPr="04000B48">
        <w:rPr>
          <w:lang w:val="en-GB"/>
        </w:rPr>
        <w:t xml:space="preserve"> The first sample</w:t>
      </w:r>
      <w:r w:rsidR="00F54841">
        <w:rPr>
          <w:rStyle w:val="a5"/>
          <w:lang w:val="en-GB"/>
        </w:rPr>
        <w:footnoteReference w:id="2"/>
      </w:r>
      <w:r w:rsidRPr="04000B48">
        <w:rPr>
          <w:lang w:val="en-GB"/>
        </w:rPr>
        <w:t xml:space="preserve">absolute calibrated dates </w:t>
      </w:r>
      <w:r w:rsidRPr="00A5611B">
        <w:rPr>
          <w:szCs w:val="28"/>
          <w:lang w:val="en-GB"/>
        </w:rPr>
        <w:t>is</w:t>
      </w:r>
    </w:p>
    <w:p w:rsidR="00040675" w:rsidRDefault="04000B48" w:rsidP="04000B48">
      <w:pPr>
        <w:pStyle w:val="2"/>
        <w:numPr>
          <w:ilvl w:val="0"/>
          <w:numId w:val="2"/>
        </w:numPr>
        <w:spacing w:line="360" w:lineRule="auto"/>
        <w:rPr>
          <w:szCs w:val="28"/>
          <w:lang w:val="en-GB"/>
        </w:rPr>
      </w:pPr>
      <w:r w:rsidRPr="04000B48">
        <w:rPr>
          <w:lang w:val="en-GB"/>
        </w:rPr>
        <w:t xml:space="preserve">SOAN-4800: 6020-5375 BC (the end of the 7 century – the middle of the 6 century) </w:t>
      </w:r>
    </w:p>
    <w:p w:rsidR="00040675" w:rsidRDefault="04000B48" w:rsidP="04000B48">
      <w:pPr>
        <w:pStyle w:val="2"/>
        <w:numPr>
          <w:ilvl w:val="0"/>
          <w:numId w:val="2"/>
        </w:numPr>
        <w:spacing w:line="360" w:lineRule="auto"/>
        <w:rPr>
          <w:szCs w:val="28"/>
          <w:lang w:val="en-GB"/>
        </w:rPr>
      </w:pPr>
      <w:r w:rsidRPr="04000B48">
        <w:rPr>
          <w:lang w:val="en-GB"/>
        </w:rPr>
        <w:lastRenderedPageBreak/>
        <w:t xml:space="preserve">Le-6206: 5739 – 5635 BC (the beginning of the 5 century BC) </w:t>
      </w:r>
    </w:p>
    <w:p w:rsidR="04000B48" w:rsidRDefault="04000B48" w:rsidP="00D72A28">
      <w:pPr>
        <w:pStyle w:val="2"/>
        <w:spacing w:line="360" w:lineRule="auto"/>
        <w:ind w:firstLine="0"/>
        <w:rPr>
          <w:vertAlign w:val="superscript"/>
          <w:lang w:val="en-GB"/>
        </w:rPr>
      </w:pPr>
      <w:r w:rsidRPr="04000B48">
        <w:rPr>
          <w:lang w:val="en-GB"/>
        </w:rPr>
        <w:t>The second sample</w:t>
      </w:r>
      <w:r w:rsidR="00F54841">
        <w:rPr>
          <w:rStyle w:val="a5"/>
          <w:lang w:val="en-GB"/>
        </w:rPr>
        <w:footnoteReference w:id="3"/>
      </w:r>
      <w:r w:rsidRPr="04000B48">
        <w:rPr>
          <w:lang w:val="en-GB"/>
        </w:rPr>
        <w:t xml:space="preserve">absolute calibrated dates is </w:t>
      </w:r>
    </w:p>
    <w:p w:rsidR="04000B48" w:rsidRDefault="04000B48" w:rsidP="04000B48">
      <w:pPr>
        <w:pStyle w:val="2"/>
        <w:numPr>
          <w:ilvl w:val="0"/>
          <w:numId w:val="2"/>
        </w:numPr>
        <w:spacing w:line="360" w:lineRule="auto"/>
        <w:rPr>
          <w:szCs w:val="28"/>
          <w:lang w:val="en-GB"/>
        </w:rPr>
      </w:pPr>
      <w:r w:rsidRPr="04000B48">
        <w:rPr>
          <w:lang w:val="en-GB"/>
        </w:rPr>
        <w:t xml:space="preserve">SOAN-4800: 6020-5375 BC (the end of the 7 century – the middle of the 6 century) </w:t>
      </w:r>
    </w:p>
    <w:p w:rsidR="04000B48" w:rsidRDefault="04000B48" w:rsidP="04000B48">
      <w:pPr>
        <w:pStyle w:val="2"/>
        <w:numPr>
          <w:ilvl w:val="0"/>
          <w:numId w:val="2"/>
        </w:numPr>
        <w:spacing w:line="360" w:lineRule="auto"/>
        <w:rPr>
          <w:szCs w:val="28"/>
          <w:lang w:val="en-GB"/>
        </w:rPr>
      </w:pPr>
      <w:r w:rsidRPr="04000B48">
        <w:rPr>
          <w:lang w:val="en-GB"/>
        </w:rPr>
        <w:t>Le-6206: 5611 – 5479 BC (the middle of the 6 century BC).</w:t>
      </w:r>
    </w:p>
    <w:p w:rsidR="04000B48" w:rsidRPr="001E5EB1" w:rsidRDefault="04000B48" w:rsidP="04000B48">
      <w:pPr>
        <w:pStyle w:val="2"/>
        <w:spacing w:line="360" w:lineRule="auto"/>
        <w:rPr>
          <w:lang w:val="en-US"/>
        </w:rPr>
      </w:pPr>
    </w:p>
    <w:p w:rsidR="04000B48" w:rsidRDefault="04000B48" w:rsidP="04000B48">
      <w:pPr>
        <w:pStyle w:val="2"/>
        <w:spacing w:line="360" w:lineRule="auto"/>
        <w:rPr>
          <w:lang w:val="en-GB"/>
        </w:rPr>
      </w:pPr>
      <w:r w:rsidRPr="04000B48">
        <w:rPr>
          <w:lang w:val="en-GB"/>
        </w:rPr>
        <w:t xml:space="preserve">The radiocarbon dating determines the period of </w:t>
      </w:r>
      <w:proofErr w:type="spellStart"/>
      <w:r w:rsidRPr="04000B48">
        <w:rPr>
          <w:lang w:val="en-GB"/>
        </w:rPr>
        <w:t>Kayukovo</w:t>
      </w:r>
      <w:proofErr w:type="spellEnd"/>
      <w:r w:rsidRPr="04000B48">
        <w:rPr>
          <w:lang w:val="en-GB"/>
        </w:rPr>
        <w:t xml:space="preserve"> 2 functioning as the first third of the 6 millennium BC. The cultural layer morphology and absence of evidence of rebuilding indicate, that the wooden-earthen habitation structure existed for a short period of time, not more than 100 years, it defines the site as a single-layer structure.</w:t>
      </w:r>
    </w:p>
    <w:p w:rsidR="04000B48" w:rsidRPr="002B42CB" w:rsidRDefault="04000B48" w:rsidP="04000B48">
      <w:pPr>
        <w:pStyle w:val="2"/>
        <w:spacing w:line="360" w:lineRule="auto"/>
        <w:rPr>
          <w:lang w:val="en-US"/>
        </w:rPr>
      </w:pPr>
      <w:r w:rsidRPr="00D72A28">
        <w:rPr>
          <w:b/>
          <w:lang w:val="en-GB"/>
        </w:rPr>
        <w:t>The architectural aspect</w:t>
      </w:r>
      <w:r w:rsidRPr="04000B48">
        <w:rPr>
          <w:lang w:val="en-GB"/>
        </w:rPr>
        <w:t xml:space="preserve"> of </w:t>
      </w:r>
      <w:proofErr w:type="spellStart"/>
      <w:r w:rsidRPr="04000B48">
        <w:rPr>
          <w:lang w:val="en-GB"/>
        </w:rPr>
        <w:t>Kayukovo</w:t>
      </w:r>
      <w:proofErr w:type="spellEnd"/>
      <w:r w:rsidRPr="04000B48">
        <w:rPr>
          <w:lang w:val="en-GB"/>
        </w:rPr>
        <w:t xml:space="preserve"> 2 is the most interesting. An important characteristic of the soils of the North of the Western Siberia should be mentioned, they are sands and sandy loams</w:t>
      </w:r>
      <w:r w:rsidR="00F54841">
        <w:rPr>
          <w:rStyle w:val="a5"/>
          <w:lang w:val="en-GB"/>
        </w:rPr>
        <w:footnoteReference w:id="4"/>
      </w:r>
      <w:r w:rsidRPr="04000B48">
        <w:rPr>
          <w:lang w:val="en-GB"/>
        </w:rPr>
        <w:t xml:space="preserve">. In such a ground the remains of the ancient settlements are distinct in the microrelief. That provides the opportunity to study architectural characteristics both the certain habitation structures and plans structure of the settlements prior to the excavation. </w:t>
      </w:r>
      <w:r w:rsidRPr="00EF4400">
        <w:rPr>
          <w:color w:val="FF0000"/>
          <w:lang w:val="en-US"/>
        </w:rPr>
        <w:t>(</w:t>
      </w:r>
      <w:r w:rsidRPr="00EF4400">
        <w:rPr>
          <w:color w:val="FF0000"/>
          <w:lang w:val="en-GB"/>
        </w:rPr>
        <w:t>Fig</w:t>
      </w:r>
      <w:r w:rsidRPr="00EF4400">
        <w:rPr>
          <w:color w:val="FF0000"/>
          <w:lang w:val="en-US"/>
        </w:rPr>
        <w:t xml:space="preserve">. </w:t>
      </w:r>
      <w:r w:rsidR="00F54841">
        <w:rPr>
          <w:color w:val="FF0000"/>
          <w:lang w:val="en-US"/>
        </w:rPr>
        <w:t>009</w:t>
      </w:r>
      <w:r w:rsidRPr="00EF4400">
        <w:rPr>
          <w:color w:val="FF0000"/>
          <w:lang w:val="en-US"/>
        </w:rPr>
        <w:t>)</w:t>
      </w:r>
      <w:r w:rsidRPr="002B42CB">
        <w:rPr>
          <w:lang w:val="en-US"/>
        </w:rPr>
        <w:t>.</w:t>
      </w:r>
    </w:p>
    <w:p w:rsidR="04000B48" w:rsidRDefault="1F5560D8" w:rsidP="1F5560D8">
      <w:pPr>
        <w:pStyle w:val="2"/>
        <w:spacing w:line="360" w:lineRule="auto"/>
        <w:rPr>
          <w:lang w:val="en-GB"/>
        </w:rPr>
      </w:pPr>
      <w:r w:rsidRPr="1F5560D8">
        <w:rPr>
          <w:lang w:val="en-GB"/>
        </w:rPr>
        <w:t xml:space="preserve">Three settlements of </w:t>
      </w:r>
      <w:proofErr w:type="spellStart"/>
      <w:r w:rsidRPr="00D72A28">
        <w:rPr>
          <w:b/>
          <w:lang w:val="en-GB"/>
        </w:rPr>
        <w:t>Kayukovsky</w:t>
      </w:r>
      <w:proofErr w:type="spellEnd"/>
      <w:r w:rsidRPr="1F5560D8">
        <w:rPr>
          <w:lang w:val="en-GB"/>
        </w:rPr>
        <w:t xml:space="preserve"> culture have circular plan structure, that are </w:t>
      </w:r>
      <w:proofErr w:type="spellStart"/>
      <w:r w:rsidRPr="1F5560D8">
        <w:rPr>
          <w:lang w:val="en-GB"/>
        </w:rPr>
        <w:t>Kayukovo</w:t>
      </w:r>
      <w:proofErr w:type="spellEnd"/>
      <w:r w:rsidRPr="1F5560D8">
        <w:rPr>
          <w:lang w:val="en-GB"/>
        </w:rPr>
        <w:t xml:space="preserve"> 2, </w:t>
      </w:r>
      <w:proofErr w:type="spellStart"/>
      <w:r w:rsidRPr="1F5560D8">
        <w:rPr>
          <w:lang w:val="en-GB"/>
        </w:rPr>
        <w:t>Kachnisap</w:t>
      </w:r>
      <w:proofErr w:type="spellEnd"/>
      <w:r w:rsidRPr="1F5560D8">
        <w:rPr>
          <w:lang w:val="en-GB"/>
        </w:rPr>
        <w:t xml:space="preserve"> 2 and </w:t>
      </w:r>
      <w:proofErr w:type="spellStart"/>
      <w:r w:rsidRPr="1F5560D8">
        <w:rPr>
          <w:lang w:val="en-GB"/>
        </w:rPr>
        <w:t>Barsovagora</w:t>
      </w:r>
      <w:proofErr w:type="spellEnd"/>
      <w:r w:rsidRPr="1F5560D8">
        <w:rPr>
          <w:lang w:val="en-GB"/>
        </w:rPr>
        <w:t xml:space="preserve"> II/9, one settlement has linear or street structure (in two rows) plan structure. In </w:t>
      </w:r>
      <w:proofErr w:type="gramStart"/>
      <w:r w:rsidRPr="1F5560D8">
        <w:rPr>
          <w:lang w:val="en-GB"/>
        </w:rPr>
        <w:t>sufficient</w:t>
      </w:r>
      <w:proofErr w:type="gramEnd"/>
      <w:r w:rsidRPr="1F5560D8">
        <w:rPr>
          <w:lang w:val="en-GB"/>
        </w:rPr>
        <w:t xml:space="preserve"> scale the first settlements with the elements of fortification appeared here since the Late Bronze Age (14-9 centuries BC), And the defensive and settlement complexes with regular plan appeared even later, since the early Iron Age (8-7 centuries BC). The settlement complexes of </w:t>
      </w:r>
      <w:proofErr w:type="spellStart"/>
      <w:r w:rsidRPr="1F5560D8">
        <w:rPr>
          <w:lang w:val="en-GB"/>
        </w:rPr>
        <w:t>Kayukovsky</w:t>
      </w:r>
      <w:proofErr w:type="spellEnd"/>
      <w:r w:rsidRPr="1F5560D8">
        <w:rPr>
          <w:lang w:val="en-GB"/>
        </w:rPr>
        <w:t xml:space="preserve"> culture, with their regular plan structure and fortification elements, are exclusive in the architecture of the humans of the North of the Western Siberia.</w:t>
      </w:r>
    </w:p>
    <w:p w:rsidR="1F5560D8" w:rsidRDefault="1F5560D8" w:rsidP="1F5560D8">
      <w:pPr>
        <w:pStyle w:val="2"/>
        <w:spacing w:line="360" w:lineRule="auto"/>
        <w:rPr>
          <w:lang w:val="en-GB"/>
        </w:rPr>
      </w:pPr>
      <w:r w:rsidRPr="1F5560D8">
        <w:rPr>
          <w:lang w:val="en-GB"/>
        </w:rPr>
        <w:lastRenderedPageBreak/>
        <w:t xml:space="preserve">Above the ground the ruins of the settlement complex </w:t>
      </w:r>
      <w:proofErr w:type="spellStart"/>
      <w:r w:rsidRPr="1F5560D8">
        <w:rPr>
          <w:lang w:val="en-GB"/>
        </w:rPr>
        <w:t>Kayukovo</w:t>
      </w:r>
      <w:proofErr w:type="spellEnd"/>
      <w:r w:rsidRPr="1F5560D8">
        <w:rPr>
          <w:lang w:val="en-GB"/>
        </w:rPr>
        <w:t xml:space="preserve"> 2 looked like remains of the five habitation structures in the form of hollows (pits): a big central pit connected via the corridors with the four others. In </w:t>
      </w:r>
      <w:proofErr w:type="spellStart"/>
      <w:r w:rsidRPr="1F5560D8">
        <w:rPr>
          <w:lang w:val="en-GB"/>
        </w:rPr>
        <w:t>plan</w:t>
      </w:r>
      <w:proofErr w:type="spellEnd"/>
      <w:r w:rsidRPr="1F5560D8">
        <w:rPr>
          <w:lang w:val="en-GB"/>
        </w:rPr>
        <w:t xml:space="preserve"> view the remains of the habitation structures looked like cruciform structure with the diameter about 35 m. </w:t>
      </w:r>
      <w:r w:rsidR="00375AEF" w:rsidRPr="00EF4400">
        <w:rPr>
          <w:color w:val="FF0000"/>
          <w:kern w:val="0"/>
          <w:lang w:val="en-GB"/>
        </w:rPr>
        <w:t xml:space="preserve">(Fig. </w:t>
      </w:r>
      <w:r w:rsidR="00375AEF">
        <w:rPr>
          <w:color w:val="FF0000"/>
          <w:kern w:val="0"/>
          <w:lang w:val="en-GB"/>
        </w:rPr>
        <w:t>010</w:t>
      </w:r>
      <w:r w:rsidR="00375AEF">
        <w:rPr>
          <w:color w:val="FF0000"/>
          <w:szCs w:val="28"/>
          <w:lang w:val="en-GB"/>
        </w:rPr>
        <w:t xml:space="preserve">, fig 011, fig </w:t>
      </w:r>
      <w:proofErr w:type="gramStart"/>
      <w:r w:rsidR="00375AEF">
        <w:rPr>
          <w:color w:val="FF0000"/>
          <w:szCs w:val="28"/>
          <w:lang w:val="en-GB"/>
        </w:rPr>
        <w:t>012,</w:t>
      </w:r>
      <w:r w:rsidR="00375AEF" w:rsidRPr="00375AEF">
        <w:rPr>
          <w:color w:val="FF0000"/>
          <w:szCs w:val="28"/>
          <w:lang w:val="en-GB"/>
        </w:rPr>
        <w:t>text</w:t>
      </w:r>
      <w:proofErr w:type="gramEnd"/>
      <w:r w:rsidR="00375AEF" w:rsidRPr="00375AEF">
        <w:rPr>
          <w:color w:val="FF0000"/>
          <w:szCs w:val="28"/>
          <w:lang w:val="en-GB"/>
        </w:rPr>
        <w:t xml:space="preserve"> 0</w:t>
      </w:r>
      <w:r w:rsidR="00375AEF">
        <w:rPr>
          <w:color w:val="FF0000"/>
          <w:szCs w:val="28"/>
          <w:lang w:val="en-GB"/>
        </w:rPr>
        <w:t>13</w:t>
      </w:r>
      <w:r w:rsidR="00375AEF" w:rsidRPr="00EF4400">
        <w:rPr>
          <w:color w:val="FF0000"/>
          <w:kern w:val="0"/>
          <w:lang w:val="en-GB"/>
        </w:rPr>
        <w:t>)</w:t>
      </w:r>
    </w:p>
    <w:p w:rsidR="004C691D" w:rsidRDefault="009A719B" w:rsidP="1F5560D8">
      <w:pPr>
        <w:pStyle w:val="2"/>
        <w:spacing w:line="360" w:lineRule="auto"/>
        <w:rPr>
          <w:lang w:val="en-GB"/>
        </w:rPr>
      </w:pPr>
      <w:r w:rsidRPr="1F5560D8">
        <w:rPr>
          <w:kern w:val="0"/>
          <w:lang w:val="en-GB"/>
        </w:rPr>
        <w:t xml:space="preserve">The excavation revealed the characteristic of the habitation structure, which were not evident above the ground. On the western part the “entrance” to the inner space of the building was discovered, it was marked with the paired fireplaces and pits. The central construction is square in </w:t>
      </w:r>
      <w:proofErr w:type="spellStart"/>
      <w:r w:rsidRPr="1F5560D8">
        <w:rPr>
          <w:kern w:val="0"/>
          <w:lang w:val="en-GB"/>
        </w:rPr>
        <w:t>plan</w:t>
      </w:r>
      <w:proofErr w:type="spellEnd"/>
      <w:r w:rsidRPr="1F5560D8">
        <w:rPr>
          <w:kern w:val="0"/>
          <w:lang w:val="en-GB"/>
        </w:rPr>
        <w:t xml:space="preserve"> view, its size is 6x6 meters, its facades were</w:t>
      </w:r>
      <w:r w:rsidR="00C74EC9">
        <w:rPr>
          <w:kern w:val="0"/>
          <w:lang w:val="en-GB"/>
        </w:rPr>
        <w:t xml:space="preserve"> </w:t>
      </w:r>
      <w:r w:rsidRPr="1F5560D8">
        <w:rPr>
          <w:kern w:val="0"/>
          <w:lang w:val="en-GB"/>
        </w:rPr>
        <w:t>oriented toward north-west and south-east directions respectively (its corners were close to the axis north-south and west-east). The central construction was connected via the corridors 2x1 meters with the other four constructions of the complex, each of them was</w:t>
      </w:r>
      <w:r w:rsidR="005A4AF3">
        <w:rPr>
          <w:kern w:val="0"/>
          <w:lang w:val="en-GB"/>
        </w:rPr>
        <w:t xml:space="preserve"> rectangular with the size of 4x</w:t>
      </w:r>
      <w:r w:rsidRPr="1F5560D8">
        <w:rPr>
          <w:kern w:val="0"/>
          <w:lang w:val="en-GB"/>
        </w:rPr>
        <w:t>5 meters.</w:t>
      </w:r>
    </w:p>
    <w:p w:rsidR="00260542" w:rsidRDefault="00E85DE2" w:rsidP="1F5560D8">
      <w:pPr>
        <w:pStyle w:val="2"/>
        <w:spacing w:line="360" w:lineRule="auto"/>
        <w:rPr>
          <w:lang w:val="en-GB"/>
        </w:rPr>
      </w:pPr>
      <w:r w:rsidRPr="1F5560D8">
        <w:rPr>
          <w:kern w:val="0"/>
          <w:lang w:val="en-GB"/>
        </w:rPr>
        <w:t xml:space="preserve">The excavated constructions were supposedly the semi-subterranean </w:t>
      </w:r>
      <w:r w:rsidR="00C74EC9" w:rsidRPr="1F5560D8">
        <w:rPr>
          <w:kern w:val="0"/>
          <w:lang w:val="en-GB"/>
        </w:rPr>
        <w:t>dwellings;</w:t>
      </w:r>
      <w:r w:rsidRPr="1F5560D8">
        <w:rPr>
          <w:kern w:val="0"/>
          <w:lang w:val="en-GB"/>
        </w:rPr>
        <w:t xml:space="preserve"> there is a foundation pit about 1 or 2 meters deep, earthen walls and central hearth. The earthen</w:t>
      </w:r>
      <w:r w:rsidR="00D03AF8">
        <w:rPr>
          <w:kern w:val="0"/>
          <w:lang w:val="en-GB"/>
        </w:rPr>
        <w:t xml:space="preserve"> walls were supported with the ir</w:t>
      </w:r>
      <w:r w:rsidRPr="1F5560D8">
        <w:rPr>
          <w:kern w:val="0"/>
          <w:lang w:val="en-GB"/>
        </w:rPr>
        <w:t>removable frame, made of vertical thin logs. Their foundations were fixed in the small ditch, dug along the perimeter of the foundation pit. The flat roof was covered with the ground and had the hollow to remove smoke, which was, probably, a separate entrance above the hearth.</w:t>
      </w:r>
      <w:r w:rsidR="00D03AF8">
        <w:rPr>
          <w:kern w:val="0"/>
          <w:lang w:val="en-GB"/>
        </w:rPr>
        <w:t xml:space="preserve"> </w:t>
      </w:r>
      <w:r w:rsidR="00375AEF" w:rsidRPr="00EF4400">
        <w:rPr>
          <w:color w:val="FF0000"/>
          <w:kern w:val="0"/>
          <w:lang w:val="en-US"/>
        </w:rPr>
        <w:t>(</w:t>
      </w:r>
      <w:r w:rsidR="00375AEF" w:rsidRPr="00EF4400">
        <w:rPr>
          <w:color w:val="FF0000"/>
          <w:kern w:val="0"/>
          <w:lang w:val="en-GB"/>
        </w:rPr>
        <w:t>Fig</w:t>
      </w:r>
      <w:r w:rsidR="00375AEF" w:rsidRPr="00EF4400">
        <w:rPr>
          <w:color w:val="FF0000"/>
          <w:kern w:val="0"/>
          <w:lang w:val="en-US"/>
        </w:rPr>
        <w:t xml:space="preserve">. </w:t>
      </w:r>
      <w:r w:rsidR="00375AEF">
        <w:rPr>
          <w:color w:val="FF0000"/>
          <w:kern w:val="0"/>
          <w:lang w:val="en-US"/>
        </w:rPr>
        <w:t>015,</w:t>
      </w:r>
      <w:r w:rsidR="00D03AF8">
        <w:rPr>
          <w:color w:val="FF0000"/>
          <w:kern w:val="0"/>
          <w:lang w:val="en-US"/>
        </w:rPr>
        <w:t xml:space="preserve"> </w:t>
      </w:r>
      <w:r w:rsidR="00375AEF">
        <w:rPr>
          <w:color w:val="FF0000"/>
          <w:kern w:val="0"/>
          <w:lang w:val="en-GB"/>
        </w:rPr>
        <w:t>f</w:t>
      </w:r>
      <w:r w:rsidR="00375AEF" w:rsidRPr="00EF4400">
        <w:rPr>
          <w:color w:val="FF0000"/>
          <w:kern w:val="0"/>
          <w:lang w:val="en-GB"/>
        </w:rPr>
        <w:t>ig</w:t>
      </w:r>
      <w:r w:rsidR="00375AEF">
        <w:rPr>
          <w:color w:val="FF0000"/>
          <w:kern w:val="0"/>
          <w:lang w:val="en-GB"/>
        </w:rPr>
        <w:t xml:space="preserve"> 016</w:t>
      </w:r>
      <w:r w:rsidR="00375AEF" w:rsidRPr="00EF4400">
        <w:rPr>
          <w:color w:val="FF0000"/>
          <w:kern w:val="0"/>
          <w:lang w:val="en-US"/>
        </w:rPr>
        <w:t>.)</w:t>
      </w:r>
    </w:p>
    <w:p w:rsidR="00375AEF" w:rsidRDefault="0018102E" w:rsidP="00375AEF">
      <w:pPr>
        <w:pStyle w:val="2"/>
        <w:spacing w:line="360" w:lineRule="auto"/>
        <w:rPr>
          <w:lang w:val="en-US"/>
        </w:rPr>
      </w:pPr>
      <w:r w:rsidRPr="5589D9AA">
        <w:rPr>
          <w:kern w:val="0"/>
          <w:lang w:val="en-GB"/>
        </w:rPr>
        <w:t xml:space="preserve">The </w:t>
      </w:r>
      <w:r w:rsidR="00C74EC9" w:rsidRPr="5589D9AA">
        <w:rPr>
          <w:kern w:val="0"/>
          <w:lang w:val="en-GB"/>
        </w:rPr>
        <w:t>habitation</w:t>
      </w:r>
      <w:r w:rsidRPr="5589D9AA">
        <w:rPr>
          <w:kern w:val="0"/>
          <w:lang w:val="en-GB"/>
        </w:rPr>
        <w:t xml:space="preserve"> structure in the form of ditch 1,0-1,5 meters deep and width was found, it circled almost completely the most part of the settlement complex along the outer perimeter. In the structure there are the remains of the wooden </w:t>
      </w:r>
      <w:r w:rsidR="00C74EC9" w:rsidRPr="5589D9AA">
        <w:rPr>
          <w:kern w:val="0"/>
          <w:lang w:val="en-GB"/>
        </w:rPr>
        <w:t>frame that</w:t>
      </w:r>
      <w:r w:rsidRPr="5589D9AA">
        <w:rPr>
          <w:kern w:val="0"/>
          <w:lang w:val="en-GB"/>
        </w:rPr>
        <w:t xml:space="preserve"> can be the framework of the outer wall or the roofed tunnel from the north-western structure 4 to the western complex ent</w:t>
      </w:r>
      <w:r w:rsidR="00375AEF">
        <w:rPr>
          <w:kern w:val="0"/>
          <w:lang w:val="en-GB"/>
        </w:rPr>
        <w:t>rance.</w:t>
      </w:r>
    </w:p>
    <w:p w:rsidR="5589D9AA" w:rsidRPr="00375AEF" w:rsidRDefault="5589D9AA" w:rsidP="00375AEF">
      <w:pPr>
        <w:pStyle w:val="2"/>
        <w:spacing w:line="360" w:lineRule="auto"/>
        <w:rPr>
          <w:lang w:val="en-US"/>
        </w:rPr>
      </w:pPr>
      <w:r w:rsidRPr="5589D9AA">
        <w:rPr>
          <w:lang w:val="en-GB"/>
        </w:rPr>
        <w:t xml:space="preserve">All the structures, including the outer wall-tunnel, were deliberately burnt. The action of burning is confirmed with both absence of  considerable number of undamaged items (pottery), which could be left if the fire had been accidental, and evidence of fire in all rooms, even in the isolated places, that suggests </w:t>
      </w:r>
      <w:r w:rsidRPr="5589D9AA">
        <w:rPr>
          <w:lang w:val="en-GB"/>
        </w:rPr>
        <w:lastRenderedPageBreak/>
        <w:t>simultaneous fire outbreak and simultaneous as well flame extinction because of construction demolishing.</w:t>
      </w:r>
      <w:r w:rsidR="00C74EC9">
        <w:rPr>
          <w:lang w:val="en-GB"/>
        </w:rPr>
        <w:t xml:space="preserve"> </w:t>
      </w:r>
      <w:r w:rsidR="00375AEF" w:rsidRPr="002B42CB">
        <w:rPr>
          <w:color w:val="FF0000"/>
          <w:lang w:val="en-GB"/>
        </w:rPr>
        <w:t>(</w:t>
      </w:r>
      <w:r w:rsidR="00375AEF">
        <w:rPr>
          <w:color w:val="FF0000"/>
          <w:lang w:val="en-GB"/>
        </w:rPr>
        <w:t>Text</w:t>
      </w:r>
      <w:r w:rsidR="00375AEF" w:rsidRPr="002B42CB">
        <w:rPr>
          <w:color w:val="FF0000"/>
          <w:lang w:val="en-GB"/>
        </w:rPr>
        <w:t xml:space="preserve">. </w:t>
      </w:r>
      <w:r w:rsidR="00375AEF">
        <w:rPr>
          <w:color w:val="FF0000"/>
          <w:lang w:val="en-GB"/>
        </w:rPr>
        <w:t>017</w:t>
      </w:r>
      <w:r w:rsidR="00375AEF" w:rsidRPr="002B42CB">
        <w:rPr>
          <w:color w:val="FF0000"/>
          <w:lang w:val="en-GB"/>
        </w:rPr>
        <w:t>)</w:t>
      </w:r>
    </w:p>
    <w:p w:rsidR="5589D9AA" w:rsidRDefault="005A4AF3" w:rsidP="5589D9AA">
      <w:pPr>
        <w:pStyle w:val="2"/>
        <w:spacing w:line="360" w:lineRule="auto"/>
        <w:rPr>
          <w:lang w:val="en-GB"/>
        </w:rPr>
      </w:pPr>
      <w:r w:rsidRPr="005A4AF3">
        <w:rPr>
          <w:b/>
          <w:lang w:val="en-GB"/>
        </w:rPr>
        <w:t>The o</w:t>
      </w:r>
      <w:r w:rsidR="5589D9AA" w:rsidRPr="005A4AF3">
        <w:rPr>
          <w:b/>
          <w:lang w:val="en-GB"/>
        </w:rPr>
        <w:t>bject complex</w:t>
      </w:r>
      <w:r w:rsidR="5589D9AA" w:rsidRPr="5589D9AA">
        <w:rPr>
          <w:lang w:val="en-GB"/>
        </w:rPr>
        <w:t xml:space="preserve"> consist of 1</w:t>
      </w:r>
      <w:r w:rsidR="00F72DFB" w:rsidRPr="00C74BDD">
        <w:rPr>
          <w:lang w:val="en-US"/>
        </w:rPr>
        <w:t>2</w:t>
      </w:r>
      <w:r w:rsidR="5589D9AA" w:rsidRPr="5589D9AA">
        <w:rPr>
          <w:lang w:val="en-GB"/>
        </w:rPr>
        <w:t xml:space="preserve">00 artefacts, mostly they are fragments approximately 90-95 pottery vessels. All vessels are similar to each other in shape and ornamentation. The most common are the sphero-conical vessels with wide open mouth and flat cylindrical bottom. There are several vessels (two or three), their shape was unusual, although they had identical ornamentation, that were the vessels with rounded or </w:t>
      </w:r>
      <w:r w:rsidR="00DE4B11">
        <w:rPr>
          <w:lang w:val="en-GB"/>
        </w:rPr>
        <w:t>pointed</w:t>
      </w:r>
      <w:r w:rsidR="5589D9AA" w:rsidRPr="5589D9AA">
        <w:rPr>
          <w:lang w:val="en-GB"/>
        </w:rPr>
        <w:t xml:space="preserve"> bottoms. The vessels walls were thick, they were characterized with loose structure and different colours because of low-temperature firing.</w:t>
      </w:r>
      <w:r w:rsidR="00C74EC9">
        <w:rPr>
          <w:lang w:val="en-GB"/>
        </w:rPr>
        <w:t xml:space="preserve"> </w:t>
      </w:r>
      <w:r w:rsidR="00375AEF" w:rsidRPr="00EF4400">
        <w:rPr>
          <w:color w:val="FF0000"/>
          <w:lang w:val="en-GB"/>
        </w:rPr>
        <w:t xml:space="preserve">(Fig. </w:t>
      </w:r>
      <w:r w:rsidR="00375AEF">
        <w:rPr>
          <w:color w:val="FF0000"/>
          <w:lang w:val="en-GB"/>
        </w:rPr>
        <w:t xml:space="preserve">018, </w:t>
      </w:r>
      <w:r w:rsidR="00375AEF">
        <w:rPr>
          <w:color w:val="FF0000"/>
          <w:szCs w:val="28"/>
          <w:lang w:val="en-GB"/>
        </w:rPr>
        <w:t>fig 019, fig 020, fig 021</w:t>
      </w:r>
      <w:r w:rsidR="00375AEF" w:rsidRPr="00EF4400">
        <w:rPr>
          <w:color w:val="FF0000"/>
          <w:lang w:val="en-GB"/>
        </w:rPr>
        <w:t>)</w:t>
      </w:r>
    </w:p>
    <w:p w:rsidR="5589D9AA" w:rsidRDefault="5589D9AA" w:rsidP="5589D9AA">
      <w:pPr>
        <w:pStyle w:val="2"/>
        <w:spacing w:line="360" w:lineRule="auto"/>
        <w:rPr>
          <w:lang w:val="en-GB"/>
        </w:rPr>
      </w:pPr>
      <w:r w:rsidRPr="5589D9AA">
        <w:rPr>
          <w:lang w:val="en-GB"/>
        </w:rPr>
        <w:t>The</w:t>
      </w:r>
      <w:r w:rsidR="00C74EC9">
        <w:rPr>
          <w:lang w:val="en-GB"/>
        </w:rPr>
        <w:t xml:space="preserve"> </w:t>
      </w:r>
      <w:r w:rsidRPr="5589D9AA">
        <w:rPr>
          <w:lang w:val="en-GB"/>
        </w:rPr>
        <w:t>outer</w:t>
      </w:r>
      <w:r w:rsidR="00C74EC9">
        <w:rPr>
          <w:lang w:val="en-GB"/>
        </w:rPr>
        <w:t xml:space="preserve"> </w:t>
      </w:r>
      <w:r w:rsidRPr="5589D9AA">
        <w:rPr>
          <w:lang w:val="en-GB"/>
        </w:rPr>
        <w:t>surface</w:t>
      </w:r>
      <w:r w:rsidR="00C74EC9">
        <w:rPr>
          <w:lang w:val="en-GB"/>
        </w:rPr>
        <w:t xml:space="preserve"> </w:t>
      </w:r>
      <w:r w:rsidRPr="5589D9AA">
        <w:rPr>
          <w:lang w:val="en-GB"/>
        </w:rPr>
        <w:t>of</w:t>
      </w:r>
      <w:r w:rsidR="00C74EC9">
        <w:rPr>
          <w:lang w:val="en-GB"/>
        </w:rPr>
        <w:t xml:space="preserve"> </w:t>
      </w:r>
      <w:r w:rsidRPr="5589D9AA">
        <w:rPr>
          <w:lang w:val="en-GB"/>
        </w:rPr>
        <w:t>the</w:t>
      </w:r>
      <w:r w:rsidR="00C74EC9">
        <w:rPr>
          <w:lang w:val="en-GB"/>
        </w:rPr>
        <w:t xml:space="preserve"> </w:t>
      </w:r>
      <w:r w:rsidRPr="5589D9AA">
        <w:rPr>
          <w:lang w:val="en-GB"/>
        </w:rPr>
        <w:t>vessels</w:t>
      </w:r>
      <w:r w:rsidR="00C74EC9">
        <w:rPr>
          <w:lang w:val="en-GB"/>
        </w:rPr>
        <w:t xml:space="preserve"> </w:t>
      </w:r>
      <w:r w:rsidRPr="5589D9AA">
        <w:rPr>
          <w:lang w:val="en-GB"/>
        </w:rPr>
        <w:t>is</w:t>
      </w:r>
      <w:r w:rsidR="00C74EC9">
        <w:rPr>
          <w:lang w:val="en-GB"/>
        </w:rPr>
        <w:t xml:space="preserve"> </w:t>
      </w:r>
      <w:r w:rsidRPr="5589D9AA">
        <w:rPr>
          <w:lang w:val="en-GB"/>
        </w:rPr>
        <w:t>completely</w:t>
      </w:r>
      <w:r w:rsidR="00C74EC9">
        <w:rPr>
          <w:lang w:val="en-GB"/>
        </w:rPr>
        <w:t xml:space="preserve"> </w:t>
      </w:r>
      <w:r w:rsidRPr="5589D9AA">
        <w:rPr>
          <w:lang w:val="en-GB"/>
        </w:rPr>
        <w:t>covered</w:t>
      </w:r>
      <w:r w:rsidR="00C74EC9">
        <w:rPr>
          <w:lang w:val="en-GB"/>
        </w:rPr>
        <w:t xml:space="preserve"> </w:t>
      </w:r>
      <w:r w:rsidRPr="5589D9AA">
        <w:rPr>
          <w:lang w:val="en-GB"/>
        </w:rPr>
        <w:t>with</w:t>
      </w:r>
      <w:r w:rsidR="00C74EC9">
        <w:rPr>
          <w:lang w:val="en-GB"/>
        </w:rPr>
        <w:t xml:space="preserve"> </w:t>
      </w:r>
      <w:r w:rsidRPr="5589D9AA">
        <w:rPr>
          <w:lang w:val="en-GB"/>
        </w:rPr>
        <w:t>ornament</w:t>
      </w:r>
      <w:r w:rsidRPr="005A4AF3">
        <w:rPr>
          <w:lang w:val="en-US"/>
        </w:rPr>
        <w:t xml:space="preserve">. </w:t>
      </w:r>
      <w:r w:rsidRPr="5589D9AA">
        <w:rPr>
          <w:lang w:val="en-GB"/>
        </w:rPr>
        <w:t xml:space="preserve">Most of the vessels have undulating edge, made with finger pressing. Below it the upper part is decorated with the belt of large foveolar imprints. The ornaments, mostly linear, consist of the parallel </w:t>
      </w:r>
      <w:r w:rsidR="006A27A7" w:rsidRPr="5589D9AA">
        <w:rPr>
          <w:lang w:val="en-GB"/>
        </w:rPr>
        <w:t>row;</w:t>
      </w:r>
      <w:r w:rsidRPr="5589D9AA">
        <w:rPr>
          <w:lang w:val="en-GB"/>
        </w:rPr>
        <w:t xml:space="preserve"> they were made by stick impression with shift “shifted stick”. Comb stamp was used rarely, usually as a dividing as well. Variety of ornamental compositions is an important characteristic. There are vertical, horizontal, diagonal and scaly ornamental compositions and their variation. At least part of the vessels was coloured with ochre. </w:t>
      </w:r>
      <w:r w:rsidR="00375AEF" w:rsidRPr="00EF4400">
        <w:rPr>
          <w:color w:val="FF0000"/>
          <w:kern w:val="0"/>
          <w:lang w:val="en-US"/>
        </w:rPr>
        <w:t>(</w:t>
      </w:r>
      <w:r w:rsidR="00375AEF" w:rsidRPr="00EF4400">
        <w:rPr>
          <w:color w:val="FF0000"/>
          <w:kern w:val="0"/>
          <w:lang w:val="en-GB"/>
        </w:rPr>
        <w:t>Fig</w:t>
      </w:r>
      <w:r w:rsidR="00375AEF" w:rsidRPr="00EF4400">
        <w:rPr>
          <w:color w:val="FF0000"/>
          <w:kern w:val="0"/>
          <w:lang w:val="en-US"/>
        </w:rPr>
        <w:t xml:space="preserve">. </w:t>
      </w:r>
      <w:r w:rsidR="00375AEF">
        <w:rPr>
          <w:color w:val="FF0000"/>
          <w:kern w:val="0"/>
          <w:lang w:val="en-US"/>
        </w:rPr>
        <w:t>0</w:t>
      </w:r>
      <w:r w:rsidR="009D2D9C">
        <w:rPr>
          <w:color w:val="FF0000"/>
          <w:kern w:val="0"/>
          <w:lang w:val="en-US"/>
        </w:rPr>
        <w:t>22</w:t>
      </w:r>
      <w:r w:rsidR="00375AEF" w:rsidRPr="00EF4400">
        <w:rPr>
          <w:color w:val="FF0000"/>
          <w:kern w:val="0"/>
          <w:lang w:val="en-US"/>
        </w:rPr>
        <w:t>)</w:t>
      </w:r>
    </w:p>
    <w:p w:rsidR="5589D9AA" w:rsidRDefault="5589D9AA" w:rsidP="5589D9AA">
      <w:pPr>
        <w:pStyle w:val="2"/>
        <w:spacing w:line="360" w:lineRule="auto"/>
        <w:rPr>
          <w:lang w:val="en-GB"/>
        </w:rPr>
      </w:pPr>
      <w:r w:rsidRPr="5589D9AA">
        <w:rPr>
          <w:lang w:val="en-GB"/>
        </w:rPr>
        <w:t>All of the flat bottoms are ornamented with symbolic pictures – labrys or solar cross, which were widely used in the Neolithic period – the Bronze Age of Western Asia, Mediterranean region and Black Sea region. Often the bottoms with symbols were used after the vessel was broken.</w:t>
      </w:r>
      <w:r w:rsidR="00D03AF8">
        <w:rPr>
          <w:lang w:val="en-GB"/>
        </w:rPr>
        <w:t xml:space="preserve"> </w:t>
      </w:r>
      <w:r w:rsidR="00EF4400" w:rsidRPr="00EF4400">
        <w:rPr>
          <w:color w:val="FF0000"/>
          <w:lang w:val="en-GB"/>
        </w:rPr>
        <w:t xml:space="preserve">(Fig. </w:t>
      </w:r>
      <w:r w:rsidR="009D2D9C">
        <w:rPr>
          <w:color w:val="FF0000"/>
          <w:lang w:val="en-GB"/>
        </w:rPr>
        <w:t>023, f</w:t>
      </w:r>
      <w:r w:rsidR="00EF4400" w:rsidRPr="00EF4400">
        <w:rPr>
          <w:color w:val="FF0000"/>
          <w:lang w:val="en-GB"/>
        </w:rPr>
        <w:t xml:space="preserve">ig. </w:t>
      </w:r>
      <w:r w:rsidR="009D2D9C">
        <w:rPr>
          <w:color w:val="FF0000"/>
          <w:lang w:val="en-GB"/>
        </w:rPr>
        <w:t>024</w:t>
      </w:r>
      <w:r w:rsidR="00EF4400" w:rsidRPr="00EF4400">
        <w:rPr>
          <w:color w:val="FF0000"/>
          <w:lang w:val="en-GB"/>
        </w:rPr>
        <w:t>)</w:t>
      </w:r>
    </w:p>
    <w:p w:rsidR="5589D9AA" w:rsidRDefault="5589D9AA" w:rsidP="009D2D9C">
      <w:pPr>
        <w:pStyle w:val="2"/>
        <w:spacing w:line="360" w:lineRule="auto"/>
        <w:rPr>
          <w:lang w:val="en-GB"/>
        </w:rPr>
      </w:pPr>
      <w:r w:rsidRPr="5589D9AA">
        <w:rPr>
          <w:lang w:val="en-GB"/>
        </w:rPr>
        <w:t xml:space="preserve">Sculpted statuettes should be mentioned as a </w:t>
      </w:r>
      <w:r w:rsidR="009D2D9C">
        <w:rPr>
          <w:lang w:val="en-GB"/>
        </w:rPr>
        <w:t>part of ceramic items</w:t>
      </w:r>
      <w:r w:rsidRPr="5589D9AA">
        <w:rPr>
          <w:lang w:val="en-GB"/>
        </w:rPr>
        <w:t xml:space="preserve">. Four statuettes were found: 3 fragments of bird, supposedly goose, statuettes and one, probably, human statuettes. The shape of the head and the edge are similar with female statuettes of </w:t>
      </w:r>
      <w:proofErr w:type="spellStart"/>
      <w:r w:rsidRPr="5589D9AA">
        <w:rPr>
          <w:lang w:val="en-GB"/>
        </w:rPr>
        <w:t>Tripol</w:t>
      </w:r>
      <w:proofErr w:type="spellEnd"/>
      <w:r w:rsidRPr="5589D9AA">
        <w:rPr>
          <w:lang w:val="en-GB"/>
        </w:rPr>
        <w:t xml:space="preserve"> culture</w:t>
      </w:r>
      <w:r w:rsidR="00DE4B11">
        <w:rPr>
          <w:lang w:val="en-GB"/>
        </w:rPr>
        <w:t xml:space="preserve"> </w:t>
      </w:r>
      <w:r w:rsidRPr="5589D9AA">
        <w:rPr>
          <w:lang w:val="en-GB"/>
        </w:rPr>
        <w:t>of the South</w:t>
      </w:r>
      <w:r w:rsidR="00DE4B11">
        <w:rPr>
          <w:lang w:val="en-GB"/>
        </w:rPr>
        <w:t>-E</w:t>
      </w:r>
      <w:r w:rsidRPr="5589D9AA">
        <w:rPr>
          <w:lang w:val="en-GB"/>
        </w:rPr>
        <w:t>ast</w:t>
      </w:r>
      <w:r w:rsidR="00DE4B11">
        <w:rPr>
          <w:lang w:val="en-GB"/>
        </w:rPr>
        <w:t>ern</w:t>
      </w:r>
      <w:r w:rsidRPr="5589D9AA">
        <w:rPr>
          <w:lang w:val="en-GB"/>
        </w:rPr>
        <w:t xml:space="preserve"> </w:t>
      </w:r>
      <w:r w:rsidR="00DE4B11">
        <w:rPr>
          <w:lang w:val="en-GB"/>
        </w:rPr>
        <w:t>Europe</w:t>
      </w:r>
      <w:r w:rsidRPr="5589D9AA">
        <w:rPr>
          <w:lang w:val="en-GB"/>
        </w:rPr>
        <w:t>.</w:t>
      </w:r>
      <w:r w:rsidR="00D03AF8">
        <w:rPr>
          <w:lang w:val="en-GB"/>
        </w:rPr>
        <w:t xml:space="preserve"> </w:t>
      </w:r>
      <w:r w:rsidR="009D2D9C" w:rsidRPr="00EF4400">
        <w:rPr>
          <w:color w:val="FF0000"/>
          <w:lang w:val="en-GB"/>
        </w:rPr>
        <w:t xml:space="preserve">(Fig. </w:t>
      </w:r>
      <w:r w:rsidR="009D2D9C">
        <w:rPr>
          <w:color w:val="FF0000"/>
          <w:lang w:val="en-GB"/>
        </w:rPr>
        <w:t>025, fig. 026</w:t>
      </w:r>
      <w:r w:rsidR="009D2D9C" w:rsidRPr="00EF4400">
        <w:rPr>
          <w:color w:val="FF0000"/>
          <w:lang w:val="en-GB"/>
        </w:rPr>
        <w:t>)</w:t>
      </w:r>
    </w:p>
    <w:p w:rsidR="009D2D9C" w:rsidRDefault="5589D9AA" w:rsidP="009D2D9C">
      <w:pPr>
        <w:pStyle w:val="2"/>
        <w:spacing w:line="360" w:lineRule="auto"/>
        <w:rPr>
          <w:lang w:val="en-GB"/>
        </w:rPr>
      </w:pPr>
      <w:r w:rsidRPr="5589D9AA">
        <w:rPr>
          <w:lang w:val="en-GB"/>
        </w:rPr>
        <w:t xml:space="preserve">There are little of stone artefacts, not more than 50 items. They are grinded implements and abrasives. Adzes with longitudinal channel and knives in the shape of sickle are typical and were not found in the other Neolithic sites in the region. </w:t>
      </w:r>
      <w:r w:rsidRPr="5589D9AA">
        <w:rPr>
          <w:lang w:val="en-GB"/>
        </w:rPr>
        <w:lastRenderedPageBreak/>
        <w:t xml:space="preserve">The tools were made of the rocks, which </w:t>
      </w:r>
      <w:r w:rsidR="00C74EC9" w:rsidRPr="5589D9AA">
        <w:rPr>
          <w:lang w:val="en-GB"/>
        </w:rPr>
        <w:t>cannot</w:t>
      </w:r>
      <w:r w:rsidRPr="5589D9AA">
        <w:rPr>
          <w:lang w:val="en-GB"/>
        </w:rPr>
        <w:t xml:space="preserve"> be found in the Western Siberia, but were common in the Southern Urals and Kazakhstan. </w:t>
      </w:r>
      <w:r w:rsidR="009D2D9C" w:rsidRPr="00EF4400">
        <w:rPr>
          <w:color w:val="FF0000"/>
          <w:kern w:val="0"/>
          <w:lang w:val="en-US"/>
        </w:rPr>
        <w:t>(</w:t>
      </w:r>
      <w:r w:rsidR="009D2D9C" w:rsidRPr="00EF4400">
        <w:rPr>
          <w:color w:val="FF0000"/>
          <w:kern w:val="0"/>
          <w:lang w:val="en-GB"/>
        </w:rPr>
        <w:t>Fig</w:t>
      </w:r>
      <w:r w:rsidR="009D2D9C" w:rsidRPr="00EF4400">
        <w:rPr>
          <w:color w:val="FF0000"/>
          <w:kern w:val="0"/>
          <w:lang w:val="en-US"/>
        </w:rPr>
        <w:t xml:space="preserve">. </w:t>
      </w:r>
      <w:r w:rsidR="009D2D9C">
        <w:rPr>
          <w:color w:val="FF0000"/>
          <w:kern w:val="0"/>
          <w:lang w:val="en-US"/>
        </w:rPr>
        <w:t>027</w:t>
      </w:r>
      <w:r w:rsidR="009D2D9C" w:rsidRPr="00EF4400">
        <w:rPr>
          <w:color w:val="FF0000"/>
          <w:kern w:val="0"/>
          <w:lang w:val="en-US"/>
        </w:rPr>
        <w:t>)</w:t>
      </w:r>
    </w:p>
    <w:p w:rsidR="5589D9AA" w:rsidRDefault="5589D9AA" w:rsidP="009D2D9C">
      <w:pPr>
        <w:pStyle w:val="2"/>
        <w:spacing w:line="360" w:lineRule="auto"/>
        <w:rPr>
          <w:lang w:val="en-GB"/>
        </w:rPr>
      </w:pPr>
      <w:r w:rsidRPr="5589D9AA">
        <w:rPr>
          <w:b/>
          <w:bCs/>
          <w:lang w:val="en-GB"/>
        </w:rPr>
        <w:t>Conclusion</w:t>
      </w:r>
      <w:r w:rsidRPr="5589D9AA">
        <w:rPr>
          <w:lang w:val="en-GB"/>
        </w:rPr>
        <w:t xml:space="preserve">. The site </w:t>
      </w:r>
      <w:proofErr w:type="spellStart"/>
      <w:r w:rsidRPr="5589D9AA">
        <w:rPr>
          <w:lang w:val="en-GB"/>
        </w:rPr>
        <w:t>Kayukovo</w:t>
      </w:r>
      <w:proofErr w:type="spellEnd"/>
      <w:r w:rsidRPr="5589D9AA">
        <w:rPr>
          <w:lang w:val="en-GB"/>
        </w:rPr>
        <w:t xml:space="preserve"> 2 has the complex of unique characteristics, which are not typical for other Neolithic sites in the </w:t>
      </w:r>
      <w:proofErr w:type="spellStart"/>
      <w:r w:rsidRPr="5589D9AA">
        <w:rPr>
          <w:lang w:val="en-GB"/>
        </w:rPr>
        <w:t>Yugra</w:t>
      </w:r>
      <w:proofErr w:type="spellEnd"/>
      <w:r w:rsidRPr="5589D9AA">
        <w:rPr>
          <w:lang w:val="en-GB"/>
        </w:rPr>
        <w:t xml:space="preserve">. Firstly, it is the complicated architectural plan of the habitational structure, which looks extraneous for the North of the Western Siberia. These defensive settlement complexes, are nontypical for simple societies of ancient hunters, and, probably, existed in the societies with more complicated social structure. In a way, complicated architecture of </w:t>
      </w:r>
      <w:proofErr w:type="spellStart"/>
      <w:r w:rsidRPr="5589D9AA">
        <w:rPr>
          <w:lang w:val="en-GB"/>
        </w:rPr>
        <w:t>Kayukovo</w:t>
      </w:r>
      <w:proofErr w:type="spellEnd"/>
      <w:r w:rsidRPr="5589D9AA">
        <w:rPr>
          <w:lang w:val="en-GB"/>
        </w:rPr>
        <w:t xml:space="preserve"> 2 may be comparable with the constructions of ancient preagricultural societies of Western Asia, for example, </w:t>
      </w:r>
      <w:proofErr w:type="spellStart"/>
      <w:r w:rsidRPr="5589D9AA">
        <w:rPr>
          <w:lang w:val="en-GB"/>
        </w:rPr>
        <w:t>Gebekli</w:t>
      </w:r>
      <w:proofErr w:type="spellEnd"/>
      <w:r w:rsidRPr="5589D9AA">
        <w:rPr>
          <w:lang w:val="en-GB"/>
        </w:rPr>
        <w:t xml:space="preserve"> </w:t>
      </w:r>
      <w:proofErr w:type="spellStart"/>
      <w:r w:rsidRPr="5589D9AA">
        <w:rPr>
          <w:lang w:val="en-GB"/>
        </w:rPr>
        <w:t>Tepe</w:t>
      </w:r>
      <w:proofErr w:type="spellEnd"/>
      <w:r w:rsidRPr="5589D9AA">
        <w:rPr>
          <w:lang w:val="en-GB"/>
        </w:rPr>
        <w:t xml:space="preserve"> (the southern-eastern Turkey). There are no direct similarities, but there are two common characteristics: </w:t>
      </w:r>
      <w:r w:rsidR="009D2D9C" w:rsidRPr="00EF4400">
        <w:rPr>
          <w:color w:val="FF0000"/>
          <w:kern w:val="0"/>
          <w:lang w:val="en-US"/>
        </w:rPr>
        <w:t>(</w:t>
      </w:r>
      <w:r w:rsidR="009D2D9C" w:rsidRPr="00EF4400">
        <w:rPr>
          <w:color w:val="FF0000"/>
          <w:kern w:val="0"/>
          <w:lang w:val="en-GB"/>
        </w:rPr>
        <w:t>Fig</w:t>
      </w:r>
      <w:r w:rsidR="009D2D9C" w:rsidRPr="00EF4400">
        <w:rPr>
          <w:color w:val="FF0000"/>
          <w:kern w:val="0"/>
          <w:lang w:val="en-US"/>
        </w:rPr>
        <w:t xml:space="preserve">. </w:t>
      </w:r>
      <w:r w:rsidR="009D2D9C">
        <w:rPr>
          <w:color w:val="FF0000"/>
          <w:kern w:val="0"/>
          <w:lang w:val="en-US"/>
        </w:rPr>
        <w:t>028</w:t>
      </w:r>
      <w:r w:rsidR="009D2D9C" w:rsidRPr="00EF4400">
        <w:rPr>
          <w:color w:val="FF0000"/>
          <w:kern w:val="0"/>
          <w:lang w:val="en-US"/>
        </w:rPr>
        <w:t>)</w:t>
      </w:r>
    </w:p>
    <w:p w:rsidR="5589D9AA" w:rsidRDefault="5589D9AA" w:rsidP="5589D9AA">
      <w:pPr>
        <w:pStyle w:val="2"/>
        <w:numPr>
          <w:ilvl w:val="0"/>
          <w:numId w:val="1"/>
        </w:numPr>
        <w:spacing w:line="360" w:lineRule="auto"/>
        <w:rPr>
          <w:szCs w:val="28"/>
          <w:lang w:val="en-GB"/>
        </w:rPr>
      </w:pPr>
      <w:r w:rsidRPr="5589D9AA">
        <w:rPr>
          <w:lang w:val="en-GB"/>
        </w:rPr>
        <w:t>Architectural organisation of the space of the structures inside the circle</w:t>
      </w:r>
    </w:p>
    <w:p w:rsidR="5589D9AA" w:rsidRDefault="5589D9AA" w:rsidP="5589D9AA">
      <w:pPr>
        <w:pStyle w:val="2"/>
        <w:numPr>
          <w:ilvl w:val="0"/>
          <w:numId w:val="1"/>
        </w:numPr>
        <w:spacing w:line="360" w:lineRule="auto"/>
        <w:rPr>
          <w:szCs w:val="28"/>
          <w:lang w:val="en-GB"/>
        </w:rPr>
      </w:pPr>
      <w:r w:rsidRPr="5589D9AA">
        <w:rPr>
          <w:lang w:val="en-GB"/>
        </w:rPr>
        <w:t>Spiral bypass corridor along the outer diameter.</w:t>
      </w:r>
    </w:p>
    <w:p w:rsidR="001E5EB1" w:rsidRPr="001E5EB1" w:rsidRDefault="001E5EB1" w:rsidP="00EB7071">
      <w:pPr>
        <w:pStyle w:val="2"/>
        <w:spacing w:line="360" w:lineRule="auto"/>
        <w:rPr>
          <w:b/>
          <w:szCs w:val="28"/>
          <w:lang w:val="en-US"/>
        </w:rPr>
      </w:pPr>
      <w:r>
        <w:rPr>
          <w:szCs w:val="28"/>
          <w:lang w:val="en-US"/>
        </w:rPr>
        <w:t>The shape of the vessels and, especially, ornaments and sign-symbolic composition, such as labrys, sol</w:t>
      </w:r>
      <w:r w:rsidR="009D2D9C">
        <w:rPr>
          <w:szCs w:val="28"/>
          <w:lang w:val="en-US"/>
        </w:rPr>
        <w:t xml:space="preserve">ar cross, </w:t>
      </w:r>
      <w:r w:rsidR="001412F9">
        <w:rPr>
          <w:szCs w:val="28"/>
          <w:lang w:val="en-US"/>
        </w:rPr>
        <w:t>ochre</w:t>
      </w:r>
      <w:r w:rsidR="009D2D9C">
        <w:rPr>
          <w:szCs w:val="28"/>
          <w:lang w:val="en-US"/>
        </w:rPr>
        <w:t xml:space="preserve"> </w:t>
      </w:r>
      <w:proofErr w:type="spellStart"/>
      <w:r w:rsidR="009D2D9C">
        <w:rPr>
          <w:szCs w:val="28"/>
          <w:lang w:val="en-US"/>
        </w:rPr>
        <w:t>colouring</w:t>
      </w:r>
      <w:proofErr w:type="spellEnd"/>
      <w:r w:rsidR="009D2D9C">
        <w:rPr>
          <w:szCs w:val="28"/>
          <w:lang w:val="en-US"/>
        </w:rPr>
        <w:t xml:space="preserve"> </w:t>
      </w:r>
      <w:proofErr w:type="spellStart"/>
      <w:r w:rsidR="009D2D9C">
        <w:rPr>
          <w:szCs w:val="28"/>
          <w:lang w:val="en-US"/>
        </w:rPr>
        <w:t>etc</w:t>
      </w:r>
      <w:proofErr w:type="spellEnd"/>
      <w:r w:rsidR="009D2D9C">
        <w:rPr>
          <w:szCs w:val="28"/>
          <w:lang w:val="en-US"/>
        </w:rPr>
        <w:t xml:space="preserve">, </w:t>
      </w:r>
      <w:r>
        <w:rPr>
          <w:szCs w:val="28"/>
          <w:lang w:val="en-US"/>
        </w:rPr>
        <w:t>also are parallel to archaeological materials from the early periods of the Central Eurasia.</w:t>
      </w:r>
    </w:p>
    <w:p w:rsidR="001E5EB1" w:rsidRDefault="001E5EB1" w:rsidP="003C3757">
      <w:pPr>
        <w:pStyle w:val="2"/>
        <w:spacing w:line="360" w:lineRule="auto"/>
        <w:rPr>
          <w:kern w:val="0"/>
          <w:szCs w:val="28"/>
          <w:lang w:val="en-US"/>
        </w:rPr>
      </w:pPr>
      <w:r>
        <w:rPr>
          <w:kern w:val="0"/>
          <w:szCs w:val="28"/>
          <w:lang w:val="en-US"/>
        </w:rPr>
        <w:t xml:space="preserve">We would like to attract attention to the problem of societies with </w:t>
      </w:r>
      <w:r w:rsidR="00D41C48">
        <w:rPr>
          <w:kern w:val="0"/>
          <w:szCs w:val="28"/>
          <w:lang w:val="en-US"/>
        </w:rPr>
        <w:t>distinct social structures, which differ from well-known tribal and village communities of hunter-gatherers. And defensive settlement complexes are one of the hallmarks such societies.</w:t>
      </w:r>
    </w:p>
    <w:p w:rsidR="00871347" w:rsidRPr="001E5EB1" w:rsidRDefault="00871347" w:rsidP="003C3757">
      <w:pPr>
        <w:pStyle w:val="2"/>
        <w:spacing w:line="360" w:lineRule="auto"/>
        <w:rPr>
          <w:kern w:val="0"/>
          <w:szCs w:val="28"/>
          <w:lang w:val="en-US"/>
        </w:rPr>
      </w:pPr>
      <w:r>
        <w:rPr>
          <w:kern w:val="0"/>
          <w:szCs w:val="28"/>
          <w:lang w:val="en-US"/>
        </w:rPr>
        <w:t xml:space="preserve">The listed above hallmarks suggest that population of </w:t>
      </w:r>
      <w:proofErr w:type="spellStart"/>
      <w:r>
        <w:rPr>
          <w:kern w:val="0"/>
          <w:szCs w:val="28"/>
          <w:lang w:val="en-US"/>
        </w:rPr>
        <w:t>Kayukovo</w:t>
      </w:r>
      <w:proofErr w:type="spellEnd"/>
      <w:r>
        <w:rPr>
          <w:kern w:val="0"/>
          <w:szCs w:val="28"/>
          <w:lang w:val="en-US"/>
        </w:rPr>
        <w:t xml:space="preserve"> 2</w:t>
      </w:r>
      <w:r w:rsidR="00D27B3A">
        <w:rPr>
          <w:kern w:val="0"/>
          <w:szCs w:val="28"/>
          <w:lang w:val="en-US"/>
        </w:rPr>
        <w:t xml:space="preserve"> originated or was connected</w:t>
      </w:r>
      <w:r w:rsidR="006B3D31">
        <w:rPr>
          <w:kern w:val="0"/>
          <w:szCs w:val="28"/>
          <w:lang w:val="en-US"/>
        </w:rPr>
        <w:t xml:space="preserve"> to the some archaeological cultures of the Western Asia and the South-</w:t>
      </w:r>
      <w:r w:rsidR="006B3D31" w:rsidRPr="006B3D31">
        <w:rPr>
          <w:kern w:val="0"/>
          <w:szCs w:val="28"/>
          <w:lang w:val="en-US"/>
        </w:rPr>
        <w:t>E</w:t>
      </w:r>
      <w:r w:rsidR="006B3D31">
        <w:rPr>
          <w:kern w:val="0"/>
          <w:szCs w:val="28"/>
          <w:lang w:val="en-US"/>
        </w:rPr>
        <w:t>astern Europe.</w:t>
      </w:r>
      <w:r w:rsidR="009D2D9C" w:rsidRPr="00EF4400">
        <w:rPr>
          <w:color w:val="FF0000"/>
          <w:kern w:val="0"/>
          <w:lang w:val="en-US"/>
        </w:rPr>
        <w:t>(</w:t>
      </w:r>
      <w:r w:rsidR="009D2D9C" w:rsidRPr="00EF4400">
        <w:rPr>
          <w:color w:val="FF0000"/>
          <w:kern w:val="0"/>
          <w:lang w:val="en-GB"/>
        </w:rPr>
        <w:t>Fig</w:t>
      </w:r>
      <w:r w:rsidR="009D2D9C" w:rsidRPr="00EF4400">
        <w:rPr>
          <w:color w:val="FF0000"/>
          <w:kern w:val="0"/>
          <w:lang w:val="en-US"/>
        </w:rPr>
        <w:t xml:space="preserve">. </w:t>
      </w:r>
      <w:r w:rsidR="009D2D9C">
        <w:rPr>
          <w:color w:val="FF0000"/>
          <w:kern w:val="0"/>
          <w:lang w:val="en-US"/>
        </w:rPr>
        <w:t>029,</w:t>
      </w:r>
      <w:r w:rsidR="009D2D9C">
        <w:rPr>
          <w:color w:val="FF0000"/>
          <w:kern w:val="0"/>
          <w:lang w:val="en-GB"/>
        </w:rPr>
        <w:t>f</w:t>
      </w:r>
      <w:r w:rsidR="009D2D9C" w:rsidRPr="00EF4400">
        <w:rPr>
          <w:color w:val="FF0000"/>
          <w:kern w:val="0"/>
          <w:lang w:val="en-GB"/>
        </w:rPr>
        <w:t>ig</w:t>
      </w:r>
      <w:r w:rsidR="009D2D9C">
        <w:rPr>
          <w:color w:val="FF0000"/>
          <w:kern w:val="0"/>
          <w:lang w:val="en-GB"/>
        </w:rPr>
        <w:t xml:space="preserve"> 030</w:t>
      </w:r>
      <w:r w:rsidR="009D2D9C" w:rsidRPr="00EF4400">
        <w:rPr>
          <w:color w:val="FF0000"/>
          <w:kern w:val="0"/>
          <w:lang w:val="en-US"/>
        </w:rPr>
        <w:t>.)</w:t>
      </w:r>
    </w:p>
    <w:sectPr w:rsidR="00871347" w:rsidRPr="001E5EB1" w:rsidSect="001858C2">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99C" w:rsidRDefault="00CA399C" w:rsidP="006B09B7">
      <w:r>
        <w:separator/>
      </w:r>
    </w:p>
  </w:endnote>
  <w:endnote w:type="continuationSeparator" w:id="0">
    <w:p w:rsidR="00CA399C" w:rsidRDefault="00CA399C" w:rsidP="006B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466089"/>
      <w:docPartObj>
        <w:docPartGallery w:val="Page Numbers (Bottom of Page)"/>
        <w:docPartUnique/>
      </w:docPartObj>
    </w:sdtPr>
    <w:sdtEndPr/>
    <w:sdtContent>
      <w:p w:rsidR="00DE4B11" w:rsidRDefault="00A3304B" w:rsidP="008D098E">
        <w:pPr>
          <w:pStyle w:val="a8"/>
          <w:jc w:val="center"/>
        </w:pPr>
        <w:r>
          <w:fldChar w:fldCharType="begin"/>
        </w:r>
        <w:r>
          <w:instrText>PAGE   \* MERGEFORMAT</w:instrText>
        </w:r>
        <w:r>
          <w:fldChar w:fldCharType="separate"/>
        </w:r>
        <w:r w:rsidR="00F72DF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99C" w:rsidRDefault="00CA399C" w:rsidP="006B09B7">
      <w:r>
        <w:separator/>
      </w:r>
    </w:p>
  </w:footnote>
  <w:footnote w:type="continuationSeparator" w:id="0">
    <w:p w:rsidR="00CA399C" w:rsidRDefault="00CA399C" w:rsidP="006B09B7">
      <w:r>
        <w:continuationSeparator/>
      </w:r>
    </w:p>
  </w:footnote>
  <w:footnote w:id="1">
    <w:p w:rsidR="00DE4B11" w:rsidRPr="00F54841" w:rsidRDefault="00DE4B11">
      <w:pPr>
        <w:pStyle w:val="a3"/>
      </w:pPr>
      <w:r>
        <w:rPr>
          <w:rStyle w:val="a5"/>
        </w:rPr>
        <w:footnoteRef/>
      </w:r>
      <w:r w:rsidRPr="00F54841">
        <w:t>Число памятников эпохи палеолита и мезолита не более 30</w:t>
      </w:r>
    </w:p>
  </w:footnote>
  <w:footnote w:id="2">
    <w:p w:rsidR="00DE4B11" w:rsidRPr="00F54841" w:rsidRDefault="00DE4B11">
      <w:pPr>
        <w:pStyle w:val="a3"/>
      </w:pPr>
      <w:r>
        <w:rPr>
          <w:rStyle w:val="a5"/>
        </w:rPr>
        <w:footnoteRef/>
      </w:r>
      <w:r w:rsidRPr="00F54841">
        <w:t>Первый образец был взят в 2000 году из основания Постройки № 3, (</w:t>
      </w:r>
      <w:r w:rsidRPr="00F54841">
        <w:t>ур. 63.40-63.50)</w:t>
      </w:r>
    </w:p>
  </w:footnote>
  <w:footnote w:id="3">
    <w:p w:rsidR="00DE4B11" w:rsidRPr="00F54841" w:rsidRDefault="00DE4B11" w:rsidP="00F54841">
      <w:pPr>
        <w:pStyle w:val="a3"/>
        <w:jc w:val="both"/>
      </w:pPr>
      <w:r>
        <w:rPr>
          <w:rStyle w:val="a5"/>
        </w:rPr>
        <w:footnoteRef/>
      </w:r>
      <w:r w:rsidRPr="00F54841">
        <w:t>Второй образец был взят в 2001 году из основания сооружения наружного рва/лабиринта (?), (</w:t>
      </w:r>
      <w:r w:rsidRPr="00F54841">
        <w:t>ур. 63.55-63.65)</w:t>
      </w:r>
    </w:p>
  </w:footnote>
  <w:footnote w:id="4">
    <w:p w:rsidR="00DE4B11" w:rsidRPr="00F54841" w:rsidRDefault="00DE4B11" w:rsidP="00F54841">
      <w:pPr>
        <w:pStyle w:val="a3"/>
        <w:jc w:val="both"/>
      </w:pPr>
      <w:r>
        <w:rPr>
          <w:rStyle w:val="a5"/>
        </w:rPr>
        <w:footnoteRef/>
      </w:r>
      <w:r w:rsidRPr="00F54841">
        <w:t xml:space="preserve"> Большинство археологических объектов Югры расположены на хорошо дренированных участках береговых террас рек и озер, рассредоточены и редко составляют многослойные памятники.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40B85"/>
    <w:multiLevelType w:val="hybridMultilevel"/>
    <w:tmpl w:val="288E46F2"/>
    <w:lvl w:ilvl="0" w:tplc="2814FB56">
      <w:start w:val="1"/>
      <w:numFmt w:val="bullet"/>
      <w:lvlText w:val=""/>
      <w:lvlJc w:val="left"/>
      <w:pPr>
        <w:ind w:left="720" w:hanging="360"/>
      </w:pPr>
      <w:rPr>
        <w:rFonts w:ascii="Symbol" w:hAnsi="Symbol" w:hint="default"/>
      </w:rPr>
    </w:lvl>
    <w:lvl w:ilvl="1" w:tplc="99721F50">
      <w:start w:val="1"/>
      <w:numFmt w:val="bullet"/>
      <w:lvlText w:val="o"/>
      <w:lvlJc w:val="left"/>
      <w:pPr>
        <w:ind w:left="1440" w:hanging="360"/>
      </w:pPr>
      <w:rPr>
        <w:rFonts w:ascii="Courier New" w:hAnsi="Courier New" w:hint="default"/>
      </w:rPr>
    </w:lvl>
    <w:lvl w:ilvl="2" w:tplc="94527488">
      <w:start w:val="1"/>
      <w:numFmt w:val="bullet"/>
      <w:lvlText w:val=""/>
      <w:lvlJc w:val="left"/>
      <w:pPr>
        <w:ind w:left="2160" w:hanging="360"/>
      </w:pPr>
      <w:rPr>
        <w:rFonts w:ascii="Wingdings" w:hAnsi="Wingdings" w:hint="default"/>
      </w:rPr>
    </w:lvl>
    <w:lvl w:ilvl="3" w:tplc="0C30FD26">
      <w:start w:val="1"/>
      <w:numFmt w:val="bullet"/>
      <w:lvlText w:val=""/>
      <w:lvlJc w:val="left"/>
      <w:pPr>
        <w:ind w:left="2880" w:hanging="360"/>
      </w:pPr>
      <w:rPr>
        <w:rFonts w:ascii="Symbol" w:hAnsi="Symbol" w:hint="default"/>
      </w:rPr>
    </w:lvl>
    <w:lvl w:ilvl="4" w:tplc="4ABEE802">
      <w:start w:val="1"/>
      <w:numFmt w:val="bullet"/>
      <w:lvlText w:val="o"/>
      <w:lvlJc w:val="left"/>
      <w:pPr>
        <w:ind w:left="3600" w:hanging="360"/>
      </w:pPr>
      <w:rPr>
        <w:rFonts w:ascii="Courier New" w:hAnsi="Courier New" w:hint="default"/>
      </w:rPr>
    </w:lvl>
    <w:lvl w:ilvl="5" w:tplc="2202F844">
      <w:start w:val="1"/>
      <w:numFmt w:val="bullet"/>
      <w:lvlText w:val=""/>
      <w:lvlJc w:val="left"/>
      <w:pPr>
        <w:ind w:left="4320" w:hanging="360"/>
      </w:pPr>
      <w:rPr>
        <w:rFonts w:ascii="Wingdings" w:hAnsi="Wingdings" w:hint="default"/>
      </w:rPr>
    </w:lvl>
    <w:lvl w:ilvl="6" w:tplc="043E3ADC">
      <w:start w:val="1"/>
      <w:numFmt w:val="bullet"/>
      <w:lvlText w:val=""/>
      <w:lvlJc w:val="left"/>
      <w:pPr>
        <w:ind w:left="5040" w:hanging="360"/>
      </w:pPr>
      <w:rPr>
        <w:rFonts w:ascii="Symbol" w:hAnsi="Symbol" w:hint="default"/>
      </w:rPr>
    </w:lvl>
    <w:lvl w:ilvl="7" w:tplc="7288639A">
      <w:start w:val="1"/>
      <w:numFmt w:val="bullet"/>
      <w:lvlText w:val="o"/>
      <w:lvlJc w:val="left"/>
      <w:pPr>
        <w:ind w:left="5760" w:hanging="360"/>
      </w:pPr>
      <w:rPr>
        <w:rFonts w:ascii="Courier New" w:hAnsi="Courier New" w:hint="default"/>
      </w:rPr>
    </w:lvl>
    <w:lvl w:ilvl="8" w:tplc="92764038">
      <w:start w:val="1"/>
      <w:numFmt w:val="bullet"/>
      <w:lvlText w:val=""/>
      <w:lvlJc w:val="left"/>
      <w:pPr>
        <w:ind w:left="6480" w:hanging="360"/>
      </w:pPr>
      <w:rPr>
        <w:rFonts w:ascii="Wingdings" w:hAnsi="Wingdings" w:hint="default"/>
      </w:rPr>
    </w:lvl>
  </w:abstractNum>
  <w:abstractNum w:abstractNumId="1" w15:restartNumberingAfterBreak="0">
    <w:nsid w:val="1AC94C29"/>
    <w:multiLevelType w:val="hybridMultilevel"/>
    <w:tmpl w:val="FDAC4E6A"/>
    <w:lvl w:ilvl="0" w:tplc="C7F0DDD6">
      <w:start w:val="1"/>
      <w:numFmt w:val="bullet"/>
      <w:lvlText w:val=""/>
      <w:lvlJc w:val="left"/>
      <w:pPr>
        <w:ind w:left="720" w:hanging="360"/>
      </w:pPr>
      <w:rPr>
        <w:rFonts w:ascii="Symbol" w:hAnsi="Symbol" w:hint="default"/>
      </w:rPr>
    </w:lvl>
    <w:lvl w:ilvl="1" w:tplc="F46A3082">
      <w:start w:val="1"/>
      <w:numFmt w:val="bullet"/>
      <w:lvlText w:val="o"/>
      <w:lvlJc w:val="left"/>
      <w:pPr>
        <w:ind w:left="1440" w:hanging="360"/>
      </w:pPr>
      <w:rPr>
        <w:rFonts w:ascii="Courier New" w:hAnsi="Courier New" w:hint="default"/>
      </w:rPr>
    </w:lvl>
    <w:lvl w:ilvl="2" w:tplc="69DEF36C">
      <w:start w:val="1"/>
      <w:numFmt w:val="bullet"/>
      <w:lvlText w:val=""/>
      <w:lvlJc w:val="left"/>
      <w:pPr>
        <w:ind w:left="2160" w:hanging="360"/>
      </w:pPr>
      <w:rPr>
        <w:rFonts w:ascii="Wingdings" w:hAnsi="Wingdings" w:hint="default"/>
      </w:rPr>
    </w:lvl>
    <w:lvl w:ilvl="3" w:tplc="2828F96E">
      <w:start w:val="1"/>
      <w:numFmt w:val="bullet"/>
      <w:lvlText w:val=""/>
      <w:lvlJc w:val="left"/>
      <w:pPr>
        <w:ind w:left="2880" w:hanging="360"/>
      </w:pPr>
      <w:rPr>
        <w:rFonts w:ascii="Symbol" w:hAnsi="Symbol" w:hint="default"/>
      </w:rPr>
    </w:lvl>
    <w:lvl w:ilvl="4" w:tplc="95F6A198">
      <w:start w:val="1"/>
      <w:numFmt w:val="bullet"/>
      <w:lvlText w:val="o"/>
      <w:lvlJc w:val="left"/>
      <w:pPr>
        <w:ind w:left="3600" w:hanging="360"/>
      </w:pPr>
      <w:rPr>
        <w:rFonts w:ascii="Courier New" w:hAnsi="Courier New" w:hint="default"/>
      </w:rPr>
    </w:lvl>
    <w:lvl w:ilvl="5" w:tplc="DC844636">
      <w:start w:val="1"/>
      <w:numFmt w:val="bullet"/>
      <w:lvlText w:val=""/>
      <w:lvlJc w:val="left"/>
      <w:pPr>
        <w:ind w:left="4320" w:hanging="360"/>
      </w:pPr>
      <w:rPr>
        <w:rFonts w:ascii="Wingdings" w:hAnsi="Wingdings" w:hint="default"/>
      </w:rPr>
    </w:lvl>
    <w:lvl w:ilvl="6" w:tplc="EC04D358">
      <w:start w:val="1"/>
      <w:numFmt w:val="bullet"/>
      <w:lvlText w:val=""/>
      <w:lvlJc w:val="left"/>
      <w:pPr>
        <w:ind w:left="5040" w:hanging="360"/>
      </w:pPr>
      <w:rPr>
        <w:rFonts w:ascii="Symbol" w:hAnsi="Symbol" w:hint="default"/>
      </w:rPr>
    </w:lvl>
    <w:lvl w:ilvl="7" w:tplc="8B409768">
      <w:start w:val="1"/>
      <w:numFmt w:val="bullet"/>
      <w:lvlText w:val="o"/>
      <w:lvlJc w:val="left"/>
      <w:pPr>
        <w:ind w:left="5760" w:hanging="360"/>
      </w:pPr>
      <w:rPr>
        <w:rFonts w:ascii="Courier New" w:hAnsi="Courier New" w:hint="default"/>
      </w:rPr>
    </w:lvl>
    <w:lvl w:ilvl="8" w:tplc="E9EEFFBA">
      <w:start w:val="1"/>
      <w:numFmt w:val="bullet"/>
      <w:lvlText w:val=""/>
      <w:lvlJc w:val="left"/>
      <w:pPr>
        <w:ind w:left="6480" w:hanging="360"/>
      </w:pPr>
      <w:rPr>
        <w:rFonts w:ascii="Wingdings" w:hAnsi="Wingdings" w:hint="default"/>
      </w:rPr>
    </w:lvl>
  </w:abstractNum>
  <w:abstractNum w:abstractNumId="2" w15:restartNumberingAfterBreak="0">
    <w:nsid w:val="7E4D232C"/>
    <w:multiLevelType w:val="hybridMultilevel"/>
    <w:tmpl w:val="DED8C28E"/>
    <w:lvl w:ilvl="0" w:tplc="5F8605A4">
      <w:start w:val="1"/>
      <w:numFmt w:val="bullet"/>
      <w:lvlText w:val=""/>
      <w:lvlJc w:val="left"/>
      <w:pPr>
        <w:ind w:left="720" w:hanging="360"/>
      </w:pPr>
      <w:rPr>
        <w:rFonts w:ascii="Symbol" w:hAnsi="Symbol" w:hint="default"/>
      </w:rPr>
    </w:lvl>
    <w:lvl w:ilvl="1" w:tplc="A6603BFE">
      <w:start w:val="1"/>
      <w:numFmt w:val="bullet"/>
      <w:lvlText w:val="o"/>
      <w:lvlJc w:val="left"/>
      <w:pPr>
        <w:ind w:left="1440" w:hanging="360"/>
      </w:pPr>
      <w:rPr>
        <w:rFonts w:ascii="Courier New" w:hAnsi="Courier New" w:hint="default"/>
      </w:rPr>
    </w:lvl>
    <w:lvl w:ilvl="2" w:tplc="E61C78B6">
      <w:start w:val="1"/>
      <w:numFmt w:val="bullet"/>
      <w:lvlText w:val=""/>
      <w:lvlJc w:val="left"/>
      <w:pPr>
        <w:ind w:left="2160" w:hanging="360"/>
      </w:pPr>
      <w:rPr>
        <w:rFonts w:ascii="Wingdings" w:hAnsi="Wingdings" w:hint="default"/>
      </w:rPr>
    </w:lvl>
    <w:lvl w:ilvl="3" w:tplc="645EE0DE">
      <w:start w:val="1"/>
      <w:numFmt w:val="bullet"/>
      <w:lvlText w:val=""/>
      <w:lvlJc w:val="left"/>
      <w:pPr>
        <w:ind w:left="2880" w:hanging="360"/>
      </w:pPr>
      <w:rPr>
        <w:rFonts w:ascii="Symbol" w:hAnsi="Symbol" w:hint="default"/>
      </w:rPr>
    </w:lvl>
    <w:lvl w:ilvl="4" w:tplc="21949596">
      <w:start w:val="1"/>
      <w:numFmt w:val="bullet"/>
      <w:lvlText w:val="o"/>
      <w:lvlJc w:val="left"/>
      <w:pPr>
        <w:ind w:left="3600" w:hanging="360"/>
      </w:pPr>
      <w:rPr>
        <w:rFonts w:ascii="Courier New" w:hAnsi="Courier New" w:hint="default"/>
      </w:rPr>
    </w:lvl>
    <w:lvl w:ilvl="5" w:tplc="226CFB06">
      <w:start w:val="1"/>
      <w:numFmt w:val="bullet"/>
      <w:lvlText w:val=""/>
      <w:lvlJc w:val="left"/>
      <w:pPr>
        <w:ind w:left="4320" w:hanging="360"/>
      </w:pPr>
      <w:rPr>
        <w:rFonts w:ascii="Wingdings" w:hAnsi="Wingdings" w:hint="default"/>
      </w:rPr>
    </w:lvl>
    <w:lvl w:ilvl="6" w:tplc="D1568C0E">
      <w:start w:val="1"/>
      <w:numFmt w:val="bullet"/>
      <w:lvlText w:val=""/>
      <w:lvlJc w:val="left"/>
      <w:pPr>
        <w:ind w:left="5040" w:hanging="360"/>
      </w:pPr>
      <w:rPr>
        <w:rFonts w:ascii="Symbol" w:hAnsi="Symbol" w:hint="default"/>
      </w:rPr>
    </w:lvl>
    <w:lvl w:ilvl="7" w:tplc="5B3C72A0">
      <w:start w:val="1"/>
      <w:numFmt w:val="bullet"/>
      <w:lvlText w:val="o"/>
      <w:lvlJc w:val="left"/>
      <w:pPr>
        <w:ind w:left="5760" w:hanging="360"/>
      </w:pPr>
      <w:rPr>
        <w:rFonts w:ascii="Courier New" w:hAnsi="Courier New" w:hint="default"/>
      </w:rPr>
    </w:lvl>
    <w:lvl w:ilvl="8" w:tplc="D70ED4BE">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50"/>
    <w:rsid w:val="00040675"/>
    <w:rsid w:val="000B2552"/>
    <w:rsid w:val="000E6E1C"/>
    <w:rsid w:val="001071ED"/>
    <w:rsid w:val="00114B48"/>
    <w:rsid w:val="00122908"/>
    <w:rsid w:val="00124392"/>
    <w:rsid w:val="0014020E"/>
    <w:rsid w:val="001412F9"/>
    <w:rsid w:val="00144F11"/>
    <w:rsid w:val="001762D6"/>
    <w:rsid w:val="00180086"/>
    <w:rsid w:val="0018102E"/>
    <w:rsid w:val="001858C2"/>
    <w:rsid w:val="001A739C"/>
    <w:rsid w:val="001B68D8"/>
    <w:rsid w:val="001E5EB1"/>
    <w:rsid w:val="001F4C4C"/>
    <w:rsid w:val="002101E4"/>
    <w:rsid w:val="00220522"/>
    <w:rsid w:val="0022532F"/>
    <w:rsid w:val="0024228F"/>
    <w:rsid w:val="00247350"/>
    <w:rsid w:val="002565E6"/>
    <w:rsid w:val="00260542"/>
    <w:rsid w:val="00264B2C"/>
    <w:rsid w:val="0026708E"/>
    <w:rsid w:val="002A5C39"/>
    <w:rsid w:val="002B3811"/>
    <w:rsid w:val="002B42CB"/>
    <w:rsid w:val="002C3638"/>
    <w:rsid w:val="002E0101"/>
    <w:rsid w:val="00304A7D"/>
    <w:rsid w:val="003121C4"/>
    <w:rsid w:val="00353CDB"/>
    <w:rsid w:val="00361A2D"/>
    <w:rsid w:val="00375AEF"/>
    <w:rsid w:val="003A021A"/>
    <w:rsid w:val="003A1577"/>
    <w:rsid w:val="003C3757"/>
    <w:rsid w:val="003F53E0"/>
    <w:rsid w:val="003F7A4A"/>
    <w:rsid w:val="004213AD"/>
    <w:rsid w:val="00441860"/>
    <w:rsid w:val="004566E6"/>
    <w:rsid w:val="00463B4B"/>
    <w:rsid w:val="00471917"/>
    <w:rsid w:val="00493A9F"/>
    <w:rsid w:val="004A192D"/>
    <w:rsid w:val="004B2EAF"/>
    <w:rsid w:val="004C691D"/>
    <w:rsid w:val="00532541"/>
    <w:rsid w:val="005432FF"/>
    <w:rsid w:val="00550A95"/>
    <w:rsid w:val="005672F1"/>
    <w:rsid w:val="005A2CAA"/>
    <w:rsid w:val="005A4AF3"/>
    <w:rsid w:val="005A5BE5"/>
    <w:rsid w:val="005B5000"/>
    <w:rsid w:val="005B5168"/>
    <w:rsid w:val="005C6417"/>
    <w:rsid w:val="005F6386"/>
    <w:rsid w:val="00656F44"/>
    <w:rsid w:val="00660EF4"/>
    <w:rsid w:val="006807C0"/>
    <w:rsid w:val="00685AFE"/>
    <w:rsid w:val="006A27A7"/>
    <w:rsid w:val="006B09B7"/>
    <w:rsid w:val="006B3D31"/>
    <w:rsid w:val="006C30CF"/>
    <w:rsid w:val="007038B0"/>
    <w:rsid w:val="0072598B"/>
    <w:rsid w:val="00726F8E"/>
    <w:rsid w:val="00740369"/>
    <w:rsid w:val="00783A2A"/>
    <w:rsid w:val="007C1277"/>
    <w:rsid w:val="007C58B3"/>
    <w:rsid w:val="007F22AE"/>
    <w:rsid w:val="00844308"/>
    <w:rsid w:val="0084681D"/>
    <w:rsid w:val="00871347"/>
    <w:rsid w:val="0087321B"/>
    <w:rsid w:val="00893B82"/>
    <w:rsid w:val="008A6DBB"/>
    <w:rsid w:val="008C0446"/>
    <w:rsid w:val="008D098E"/>
    <w:rsid w:val="008F0765"/>
    <w:rsid w:val="008F0E27"/>
    <w:rsid w:val="00952E78"/>
    <w:rsid w:val="009612FD"/>
    <w:rsid w:val="009924C9"/>
    <w:rsid w:val="009931F1"/>
    <w:rsid w:val="009A1084"/>
    <w:rsid w:val="009A573C"/>
    <w:rsid w:val="009A719B"/>
    <w:rsid w:val="009B21ED"/>
    <w:rsid w:val="009B3F64"/>
    <w:rsid w:val="009C33C1"/>
    <w:rsid w:val="009C4C21"/>
    <w:rsid w:val="009D26C6"/>
    <w:rsid w:val="009D2D9C"/>
    <w:rsid w:val="009D6735"/>
    <w:rsid w:val="00A27840"/>
    <w:rsid w:val="00A3304B"/>
    <w:rsid w:val="00A5611B"/>
    <w:rsid w:val="00A74F0B"/>
    <w:rsid w:val="00AB2D16"/>
    <w:rsid w:val="00AB790F"/>
    <w:rsid w:val="00AC3B66"/>
    <w:rsid w:val="00AE5D7C"/>
    <w:rsid w:val="00AF17C6"/>
    <w:rsid w:val="00AF79C2"/>
    <w:rsid w:val="00B07D40"/>
    <w:rsid w:val="00B3405F"/>
    <w:rsid w:val="00B56062"/>
    <w:rsid w:val="00B92C34"/>
    <w:rsid w:val="00BA2706"/>
    <w:rsid w:val="00BB5BF4"/>
    <w:rsid w:val="00C34F4A"/>
    <w:rsid w:val="00C47D2B"/>
    <w:rsid w:val="00C74BDD"/>
    <w:rsid w:val="00C74EC9"/>
    <w:rsid w:val="00CA399C"/>
    <w:rsid w:val="00CB02FB"/>
    <w:rsid w:val="00CC2DA2"/>
    <w:rsid w:val="00D03AF8"/>
    <w:rsid w:val="00D07549"/>
    <w:rsid w:val="00D127DA"/>
    <w:rsid w:val="00D27B3A"/>
    <w:rsid w:val="00D32A80"/>
    <w:rsid w:val="00D41C48"/>
    <w:rsid w:val="00D57A16"/>
    <w:rsid w:val="00D72A28"/>
    <w:rsid w:val="00DC20FC"/>
    <w:rsid w:val="00DE4B11"/>
    <w:rsid w:val="00DF4722"/>
    <w:rsid w:val="00E012BF"/>
    <w:rsid w:val="00E14F29"/>
    <w:rsid w:val="00E53589"/>
    <w:rsid w:val="00E84F1E"/>
    <w:rsid w:val="00E85DE2"/>
    <w:rsid w:val="00E93EB4"/>
    <w:rsid w:val="00EA30BE"/>
    <w:rsid w:val="00EA6556"/>
    <w:rsid w:val="00EB7071"/>
    <w:rsid w:val="00EF4400"/>
    <w:rsid w:val="00F01F33"/>
    <w:rsid w:val="00F46CBC"/>
    <w:rsid w:val="00F52372"/>
    <w:rsid w:val="00F54841"/>
    <w:rsid w:val="00F72DFB"/>
    <w:rsid w:val="00F97AF8"/>
    <w:rsid w:val="00FC43AB"/>
    <w:rsid w:val="00FF117E"/>
    <w:rsid w:val="04000B48"/>
    <w:rsid w:val="08A57ED7"/>
    <w:rsid w:val="0AEA2B0F"/>
    <w:rsid w:val="1F5560D8"/>
    <w:rsid w:val="41710CA9"/>
    <w:rsid w:val="43DA6207"/>
    <w:rsid w:val="4BA7A414"/>
    <w:rsid w:val="5589D9A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3A62B-27FE-4DC7-BCCD-704349D5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350"/>
    <w:rPr>
      <w:rFonts w:ascii="Times New Roman" w:eastAsia="Times New Roman" w:hAnsi="Times New Roman" w:cs="Times New Roman"/>
      <w:sz w:val="20"/>
      <w:szCs w:val="20"/>
    </w:rPr>
  </w:style>
  <w:style w:type="paragraph" w:styleId="4">
    <w:name w:val="heading 4"/>
    <w:basedOn w:val="a"/>
    <w:next w:val="a"/>
    <w:link w:val="40"/>
    <w:qFormat/>
    <w:rsid w:val="003A021A"/>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47350"/>
    <w:pPr>
      <w:ind w:firstLine="709"/>
      <w:jc w:val="both"/>
    </w:pPr>
    <w:rPr>
      <w:kern w:val="28"/>
      <w:sz w:val="28"/>
    </w:rPr>
  </w:style>
  <w:style w:type="character" w:customStyle="1" w:styleId="20">
    <w:name w:val="Основной текст с отступом 2 Знак"/>
    <w:basedOn w:val="a0"/>
    <w:link w:val="2"/>
    <w:rsid w:val="00247350"/>
    <w:rPr>
      <w:rFonts w:ascii="Times New Roman" w:eastAsia="Times New Roman" w:hAnsi="Times New Roman" w:cs="Times New Roman"/>
      <w:kern w:val="28"/>
      <w:sz w:val="28"/>
      <w:szCs w:val="20"/>
    </w:rPr>
  </w:style>
  <w:style w:type="paragraph" w:styleId="3">
    <w:name w:val="Body Text Indent 3"/>
    <w:basedOn w:val="a"/>
    <w:link w:val="30"/>
    <w:uiPriority w:val="99"/>
    <w:semiHidden/>
    <w:unhideWhenUsed/>
    <w:rsid w:val="00247350"/>
    <w:pPr>
      <w:spacing w:after="120"/>
      <w:ind w:left="283"/>
    </w:pPr>
    <w:rPr>
      <w:sz w:val="16"/>
      <w:szCs w:val="16"/>
    </w:rPr>
  </w:style>
  <w:style w:type="character" w:customStyle="1" w:styleId="30">
    <w:name w:val="Основной текст с отступом 3 Знак"/>
    <w:basedOn w:val="a0"/>
    <w:link w:val="3"/>
    <w:uiPriority w:val="99"/>
    <w:semiHidden/>
    <w:rsid w:val="00247350"/>
    <w:rPr>
      <w:rFonts w:ascii="Times New Roman" w:eastAsia="Times New Roman" w:hAnsi="Times New Roman" w:cs="Times New Roman"/>
      <w:sz w:val="16"/>
      <w:szCs w:val="16"/>
    </w:rPr>
  </w:style>
  <w:style w:type="paragraph" w:styleId="a3">
    <w:name w:val="footnote text"/>
    <w:basedOn w:val="a"/>
    <w:link w:val="a4"/>
    <w:uiPriority w:val="99"/>
    <w:semiHidden/>
    <w:unhideWhenUsed/>
    <w:rsid w:val="006B09B7"/>
  </w:style>
  <w:style w:type="character" w:customStyle="1" w:styleId="a4">
    <w:name w:val="Текст сноски Знак"/>
    <w:basedOn w:val="a0"/>
    <w:link w:val="a3"/>
    <w:uiPriority w:val="99"/>
    <w:semiHidden/>
    <w:rsid w:val="006B09B7"/>
    <w:rPr>
      <w:rFonts w:ascii="Times New Roman" w:eastAsia="Times New Roman" w:hAnsi="Times New Roman" w:cs="Times New Roman"/>
      <w:sz w:val="20"/>
      <w:szCs w:val="20"/>
    </w:rPr>
  </w:style>
  <w:style w:type="character" w:styleId="a5">
    <w:name w:val="footnote reference"/>
    <w:basedOn w:val="a0"/>
    <w:uiPriority w:val="99"/>
    <w:semiHidden/>
    <w:unhideWhenUsed/>
    <w:rsid w:val="006B09B7"/>
    <w:rPr>
      <w:vertAlign w:val="superscript"/>
    </w:rPr>
  </w:style>
  <w:style w:type="paragraph" w:styleId="a6">
    <w:name w:val="header"/>
    <w:basedOn w:val="a"/>
    <w:link w:val="a7"/>
    <w:uiPriority w:val="99"/>
    <w:unhideWhenUsed/>
    <w:rsid w:val="008D098E"/>
    <w:pPr>
      <w:tabs>
        <w:tab w:val="center" w:pos="4677"/>
        <w:tab w:val="right" w:pos="9355"/>
      </w:tabs>
    </w:pPr>
  </w:style>
  <w:style w:type="character" w:customStyle="1" w:styleId="a7">
    <w:name w:val="Верхний колонтитул Знак"/>
    <w:basedOn w:val="a0"/>
    <w:link w:val="a6"/>
    <w:uiPriority w:val="99"/>
    <w:rsid w:val="008D098E"/>
    <w:rPr>
      <w:rFonts w:ascii="Times New Roman" w:eastAsia="Times New Roman" w:hAnsi="Times New Roman" w:cs="Times New Roman"/>
      <w:sz w:val="20"/>
      <w:szCs w:val="20"/>
    </w:rPr>
  </w:style>
  <w:style w:type="paragraph" w:styleId="a8">
    <w:name w:val="footer"/>
    <w:basedOn w:val="a"/>
    <w:link w:val="a9"/>
    <w:uiPriority w:val="99"/>
    <w:unhideWhenUsed/>
    <w:rsid w:val="008D098E"/>
    <w:pPr>
      <w:tabs>
        <w:tab w:val="center" w:pos="4677"/>
        <w:tab w:val="right" w:pos="9355"/>
      </w:tabs>
    </w:pPr>
  </w:style>
  <w:style w:type="character" w:customStyle="1" w:styleId="a9">
    <w:name w:val="Нижний колонтитул Знак"/>
    <w:basedOn w:val="a0"/>
    <w:link w:val="a8"/>
    <w:uiPriority w:val="99"/>
    <w:rsid w:val="008D098E"/>
    <w:rPr>
      <w:rFonts w:ascii="Times New Roman" w:eastAsia="Times New Roman" w:hAnsi="Times New Roman" w:cs="Times New Roman"/>
      <w:sz w:val="20"/>
      <w:szCs w:val="20"/>
    </w:rPr>
  </w:style>
  <w:style w:type="paragraph" w:styleId="aa">
    <w:name w:val="Body Text"/>
    <w:basedOn w:val="a"/>
    <w:link w:val="ab"/>
    <w:uiPriority w:val="99"/>
    <w:unhideWhenUsed/>
    <w:rsid w:val="003A021A"/>
    <w:pPr>
      <w:spacing w:after="120"/>
    </w:pPr>
  </w:style>
  <w:style w:type="character" w:customStyle="1" w:styleId="ab">
    <w:name w:val="Основной текст Знак"/>
    <w:basedOn w:val="a0"/>
    <w:link w:val="aa"/>
    <w:uiPriority w:val="99"/>
    <w:rsid w:val="003A021A"/>
    <w:rPr>
      <w:rFonts w:ascii="Times New Roman" w:eastAsia="Times New Roman" w:hAnsi="Times New Roman" w:cs="Times New Roman"/>
      <w:sz w:val="20"/>
      <w:szCs w:val="20"/>
    </w:rPr>
  </w:style>
  <w:style w:type="character" w:customStyle="1" w:styleId="40">
    <w:name w:val="Заголовок 4 Знак"/>
    <w:basedOn w:val="a0"/>
    <w:link w:val="4"/>
    <w:rsid w:val="003A021A"/>
    <w:rPr>
      <w:rFonts w:ascii="Times New Roman" w:eastAsia="Times New Roman" w:hAnsi="Times New Roman" w:cs="Times New Roman"/>
      <w:szCs w:val="20"/>
    </w:rPr>
  </w:style>
  <w:style w:type="character" w:styleId="ac">
    <w:name w:val="annotation reference"/>
    <w:basedOn w:val="a0"/>
    <w:uiPriority w:val="99"/>
    <w:semiHidden/>
    <w:unhideWhenUsed/>
    <w:rsid w:val="003121C4"/>
    <w:rPr>
      <w:sz w:val="16"/>
      <w:szCs w:val="16"/>
    </w:rPr>
  </w:style>
  <w:style w:type="paragraph" w:styleId="ad">
    <w:name w:val="annotation text"/>
    <w:basedOn w:val="a"/>
    <w:link w:val="ae"/>
    <w:uiPriority w:val="99"/>
    <w:semiHidden/>
    <w:unhideWhenUsed/>
    <w:rsid w:val="003121C4"/>
  </w:style>
  <w:style w:type="character" w:customStyle="1" w:styleId="ae">
    <w:name w:val="Текст примечания Знак"/>
    <w:basedOn w:val="a0"/>
    <w:link w:val="ad"/>
    <w:uiPriority w:val="99"/>
    <w:semiHidden/>
    <w:rsid w:val="003121C4"/>
    <w:rPr>
      <w:rFonts w:ascii="Times New Roman" w:eastAsia="Times New Roman" w:hAnsi="Times New Roman" w:cs="Times New Roman"/>
      <w:sz w:val="20"/>
      <w:szCs w:val="20"/>
    </w:rPr>
  </w:style>
  <w:style w:type="paragraph" w:styleId="af">
    <w:name w:val="annotation subject"/>
    <w:basedOn w:val="ad"/>
    <w:next w:val="ad"/>
    <w:link w:val="af0"/>
    <w:uiPriority w:val="99"/>
    <w:semiHidden/>
    <w:unhideWhenUsed/>
    <w:rsid w:val="003121C4"/>
    <w:rPr>
      <w:b/>
      <w:bCs/>
    </w:rPr>
  </w:style>
  <w:style w:type="character" w:customStyle="1" w:styleId="af0">
    <w:name w:val="Тема примечания Знак"/>
    <w:basedOn w:val="ae"/>
    <w:link w:val="af"/>
    <w:uiPriority w:val="99"/>
    <w:semiHidden/>
    <w:rsid w:val="003121C4"/>
    <w:rPr>
      <w:rFonts w:ascii="Times New Roman" w:eastAsia="Times New Roman" w:hAnsi="Times New Roman" w:cs="Times New Roman"/>
      <w:b/>
      <w:bCs/>
      <w:sz w:val="20"/>
      <w:szCs w:val="20"/>
    </w:rPr>
  </w:style>
  <w:style w:type="paragraph" w:styleId="af1">
    <w:name w:val="Balloon Text"/>
    <w:basedOn w:val="a"/>
    <w:link w:val="af2"/>
    <w:uiPriority w:val="99"/>
    <w:semiHidden/>
    <w:unhideWhenUsed/>
    <w:rsid w:val="003121C4"/>
    <w:rPr>
      <w:rFonts w:ascii="Segoe UI" w:hAnsi="Segoe UI" w:cs="Segoe UI"/>
      <w:sz w:val="18"/>
      <w:szCs w:val="18"/>
    </w:rPr>
  </w:style>
  <w:style w:type="character" w:customStyle="1" w:styleId="af2">
    <w:name w:val="Текст выноски Знак"/>
    <w:basedOn w:val="a0"/>
    <w:link w:val="af1"/>
    <w:uiPriority w:val="99"/>
    <w:semiHidden/>
    <w:rsid w:val="003121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21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84D0C-DEA4-43FB-9D01-9C6D9ED2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2117</Words>
  <Characters>12068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Виктория Гаевская</cp:lastModifiedBy>
  <cp:revision>2</cp:revision>
  <dcterms:created xsi:type="dcterms:W3CDTF">2019-03-28T13:36:00Z</dcterms:created>
  <dcterms:modified xsi:type="dcterms:W3CDTF">2019-03-28T13:36:00Z</dcterms:modified>
</cp:coreProperties>
</file>